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rPr>
      </w:pPr>
      <w:bookmarkStart w:id="0" w:name="_Toc18052"/>
      <w:bookmarkStart w:id="1" w:name="_Toc2325"/>
      <w:bookmarkStart w:id="2" w:name="_Toc7973"/>
      <w:r>
        <w:rPr>
          <w:rFonts w:hint="eastAsia"/>
          <w:sz w:val="28"/>
          <w:szCs w:val="28"/>
        </w:rPr>
        <w:t>其他需要说明的事项</w:t>
      </w:r>
      <w:bookmarkEnd w:id="0"/>
      <w:bookmarkEnd w:id="1"/>
      <w:bookmarkEnd w:id="2"/>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b/>
          <w:bCs/>
          <w:sz w:val="24"/>
          <w:szCs w:val="24"/>
        </w:rPr>
      </w:pPr>
      <w:r>
        <w:rPr>
          <w:rFonts w:hint="eastAsia" w:ascii="Times New Roman" w:hAnsi="Times New Roman"/>
          <w:b/>
          <w:bCs/>
          <w:sz w:val="24"/>
          <w:szCs w:val="24"/>
        </w:rPr>
        <w:t>1</w:t>
      </w:r>
      <w:r>
        <w:rPr>
          <w:rFonts w:hint="eastAsia"/>
          <w:b/>
          <w:bCs/>
          <w:sz w:val="24"/>
          <w:szCs w:val="24"/>
        </w:rPr>
        <w:t xml:space="preserve"> 环境保护设施设计、施工和验收过程简况</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b w:val="0"/>
          <w:bCs w:val="0"/>
          <w:sz w:val="24"/>
          <w:szCs w:val="24"/>
        </w:rPr>
        <w:t>1</w:t>
      </w:r>
      <w:r>
        <w:rPr>
          <w:rFonts w:hint="eastAsia"/>
          <w:b w:val="0"/>
          <w:bCs w:val="0"/>
          <w:sz w:val="24"/>
          <w:szCs w:val="24"/>
        </w:rPr>
        <w:t>.</w:t>
      </w:r>
      <w:r>
        <w:rPr>
          <w:rFonts w:hint="eastAsia" w:ascii="Times New Roman" w:hAnsi="Times New Roman"/>
          <w:b w:val="0"/>
          <w:bCs w:val="0"/>
          <w:sz w:val="24"/>
          <w:szCs w:val="24"/>
        </w:rPr>
        <w:t>1</w:t>
      </w:r>
      <w:r>
        <w:rPr>
          <w:rFonts w:hint="eastAsia"/>
          <w:b w:val="0"/>
          <w:bCs w:val="0"/>
          <w:sz w:val="24"/>
          <w:szCs w:val="24"/>
        </w:rPr>
        <w:t xml:space="preserve"> 设计简况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kern w:val="0"/>
          <w:sz w:val="24"/>
          <w:szCs w:val="24"/>
          <w:highlight w:val="none"/>
        </w:rPr>
      </w:pPr>
      <w:r>
        <w:rPr>
          <w:rFonts w:hint="eastAsia"/>
          <w:kern w:val="0"/>
          <w:sz w:val="24"/>
          <w:szCs w:val="24"/>
          <w:highlight w:val="none"/>
        </w:rPr>
        <w:t>安徽泰亨特科技有限公司年产25000吨四氢噻吩产品建设项目</w:t>
      </w:r>
      <w:r>
        <w:rPr>
          <w:rFonts w:ascii="Times New Roman" w:hAnsi="Times New Roman" w:eastAsia="宋体" w:cs="Times New Roman"/>
          <w:color w:val="auto"/>
          <w:kern w:val="0"/>
          <w:sz w:val="24"/>
          <w:szCs w:val="24"/>
          <w:highlight w:val="none"/>
        </w:rPr>
        <w:t>位于</w:t>
      </w:r>
      <w:r>
        <w:rPr>
          <w:rFonts w:hint="eastAsia" w:ascii="Times New Roman" w:hAnsi="Times New Roman" w:eastAsia="宋体" w:cs="Times New Roman"/>
          <w:kern w:val="0"/>
          <w:sz w:val="24"/>
          <w:szCs w:val="24"/>
          <w:highlight w:val="none"/>
        </w:rPr>
        <w:t>安庆市大观区纬九路</w:t>
      </w:r>
      <w:r>
        <w:rPr>
          <w:rFonts w:ascii="Times New Roman" w:hAnsi="Times New Roman" w:eastAsia="宋体" w:cs="Times New Roman"/>
          <w:color w:val="auto"/>
          <w:kern w:val="0"/>
          <w:sz w:val="24"/>
          <w:szCs w:val="24"/>
          <w:highlight w:val="none"/>
        </w:rPr>
        <w:t>，</w:t>
      </w:r>
      <w:r>
        <w:rPr>
          <w:rFonts w:hint="eastAsia" w:ascii="宋体" w:hAnsi="宋体" w:eastAsia="宋体" w:cs="Times New Roman"/>
          <w:color w:val="auto"/>
          <w:kern w:val="0"/>
          <w:sz w:val="24"/>
          <w:szCs w:val="24"/>
          <w:highlight w:val="none"/>
          <w:lang w:val="en-US" w:eastAsia="zh-CN" w:bidi="ar-SA"/>
        </w:rPr>
        <w:t>项目环评于</w:t>
      </w:r>
      <w:r>
        <w:rPr>
          <w:rFonts w:ascii="Times New Roman" w:hAnsi="Times New Roman" w:eastAsia="宋体" w:cs="Times New Roman"/>
          <w:kern w:val="0"/>
          <w:sz w:val="24"/>
          <w:szCs w:val="24"/>
          <w:highlight w:val="none"/>
        </w:rPr>
        <w:t>20</w:t>
      </w:r>
      <w:r>
        <w:rPr>
          <w:rFonts w:hint="eastAsia" w:ascii="Times New Roman" w:hAnsi="Times New Roman" w:eastAsia="宋体" w:cs="Times New Roman"/>
          <w:kern w:val="0"/>
          <w:sz w:val="24"/>
          <w:szCs w:val="24"/>
          <w:highlight w:val="none"/>
          <w:lang w:val="en-US" w:eastAsia="zh-CN"/>
        </w:rPr>
        <w:t>22</w:t>
      </w:r>
      <w:r>
        <w:rPr>
          <w:rFonts w:ascii="Times New Roman" w:hAnsi="Times New Roman" w:eastAsia="宋体" w:cs="Times New Roman"/>
          <w:kern w:val="0"/>
          <w:sz w:val="24"/>
          <w:szCs w:val="24"/>
          <w:highlight w:val="none"/>
        </w:rPr>
        <w:t>年</w:t>
      </w:r>
      <w:r>
        <w:rPr>
          <w:rFonts w:hint="eastAsia" w:ascii="Times New Roman" w:hAnsi="Times New Roman" w:eastAsia="宋体" w:cs="Times New Roman"/>
          <w:kern w:val="0"/>
          <w:sz w:val="24"/>
          <w:szCs w:val="24"/>
          <w:highlight w:val="none"/>
          <w:lang w:val="en-US" w:eastAsia="zh-CN"/>
        </w:rPr>
        <w:t>11</w:t>
      </w:r>
      <w:r>
        <w:rPr>
          <w:rFonts w:ascii="Times New Roman" w:hAnsi="Times New Roman" w:eastAsia="宋体" w:cs="Times New Roman"/>
          <w:kern w:val="0"/>
          <w:sz w:val="24"/>
          <w:szCs w:val="24"/>
          <w:highlight w:val="none"/>
        </w:rPr>
        <w:t>月</w:t>
      </w:r>
      <w:r>
        <w:rPr>
          <w:rFonts w:hint="eastAsia" w:ascii="Times New Roman" w:hAnsi="Times New Roman" w:eastAsia="宋体" w:cs="Times New Roman"/>
          <w:kern w:val="0"/>
          <w:sz w:val="24"/>
          <w:szCs w:val="24"/>
          <w:highlight w:val="none"/>
          <w:lang w:val="en-US" w:eastAsia="zh-CN"/>
        </w:rPr>
        <w:t>1</w:t>
      </w:r>
      <w:r>
        <w:rPr>
          <w:rFonts w:ascii="Times New Roman" w:hAnsi="Times New Roman" w:eastAsia="宋体" w:cs="Times New Roman"/>
          <w:kern w:val="0"/>
          <w:sz w:val="24"/>
          <w:szCs w:val="24"/>
          <w:highlight w:val="none"/>
        </w:rPr>
        <w:t>日获</w:t>
      </w:r>
      <w:r>
        <w:rPr>
          <w:rFonts w:hint="eastAsia" w:ascii="Times New Roman" w:hAnsi="Times New Roman" w:eastAsia="宋体" w:cs="Times New Roman"/>
          <w:kern w:val="0"/>
          <w:sz w:val="24"/>
          <w:szCs w:val="24"/>
          <w:highlight w:val="none"/>
        </w:rPr>
        <w:t>安庆市生态环境局</w:t>
      </w:r>
      <w:r>
        <w:rPr>
          <w:rFonts w:ascii="Times New Roman" w:hAnsi="Times New Roman" w:eastAsia="宋体" w:cs="Times New Roman"/>
          <w:kern w:val="0"/>
          <w:sz w:val="24"/>
          <w:szCs w:val="24"/>
          <w:highlight w:val="none"/>
        </w:rPr>
        <w:t>批复（宜环建函</w:t>
      </w:r>
      <w:r>
        <w:rPr>
          <w:rFonts w:hint="eastAsia" w:ascii="Times New Roman" w:hAnsi="Times New Roman" w:eastAsia="宋体" w:cs="Times New Roman"/>
          <w:kern w:val="0"/>
          <w:sz w:val="24"/>
          <w:szCs w:val="24"/>
          <w:highlight w:val="none"/>
        </w:rPr>
        <w:t>【</w:t>
      </w:r>
      <w:r>
        <w:rPr>
          <w:rFonts w:ascii="Times New Roman" w:hAnsi="Times New Roman" w:eastAsia="宋体" w:cs="Times New Roman"/>
          <w:kern w:val="0"/>
          <w:sz w:val="24"/>
          <w:szCs w:val="24"/>
          <w:highlight w:val="none"/>
        </w:rPr>
        <w:t>20</w:t>
      </w:r>
      <w:r>
        <w:rPr>
          <w:rFonts w:hint="eastAsia" w:ascii="Times New Roman" w:hAnsi="Times New Roman" w:eastAsia="宋体" w:cs="Times New Roman"/>
          <w:kern w:val="0"/>
          <w:sz w:val="24"/>
          <w:szCs w:val="24"/>
          <w:highlight w:val="none"/>
          <w:lang w:val="en-US" w:eastAsia="zh-CN"/>
        </w:rPr>
        <w:t>22</w:t>
      </w:r>
      <w:r>
        <w:rPr>
          <w:rFonts w:hint="eastAsia"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lang w:val="en-US" w:eastAsia="zh-CN"/>
        </w:rPr>
        <w:t>55</w:t>
      </w:r>
      <w:r>
        <w:rPr>
          <w:rFonts w:ascii="Times New Roman" w:hAnsi="Times New Roman" w:eastAsia="宋体" w:cs="Times New Roman"/>
          <w:kern w:val="0"/>
          <w:sz w:val="24"/>
          <w:szCs w:val="24"/>
          <w:highlight w:val="none"/>
        </w:rPr>
        <w:t>号）。根据项目环评报告及批复，</w:t>
      </w:r>
      <w:r>
        <w:rPr>
          <w:rFonts w:hint="eastAsia" w:ascii="Times New Roman" w:hAnsi="Times New Roman" w:eastAsia="宋体" w:cs="Times New Roman"/>
          <w:kern w:val="0"/>
          <w:sz w:val="24"/>
          <w:szCs w:val="24"/>
          <w:highlight w:val="none"/>
          <w:lang w:eastAsia="zh-CN"/>
        </w:rPr>
        <w:t>本</w:t>
      </w:r>
      <w:r>
        <w:rPr>
          <w:rFonts w:ascii="Times New Roman" w:hAnsi="Times New Roman" w:eastAsia="宋体" w:cs="Times New Roman"/>
          <w:kern w:val="0"/>
          <w:sz w:val="24"/>
          <w:szCs w:val="24"/>
          <w:highlight w:val="none"/>
        </w:rPr>
        <w:t>项目</w:t>
      </w:r>
      <w:r>
        <w:rPr>
          <w:rFonts w:hint="eastAsia" w:ascii="Times New Roman" w:hAnsi="Times New Roman" w:eastAsia="宋体" w:cs="Times New Roman"/>
          <w:kern w:val="0"/>
          <w:sz w:val="24"/>
          <w:szCs w:val="24"/>
          <w:highlight w:val="none"/>
          <w:lang w:eastAsia="zh-CN"/>
        </w:rPr>
        <w:t>为</w:t>
      </w:r>
      <w:r>
        <w:rPr>
          <w:rFonts w:hint="eastAsia"/>
          <w:kern w:val="0"/>
          <w:sz w:val="24"/>
          <w:szCs w:val="24"/>
          <w:highlight w:val="none"/>
        </w:rPr>
        <w:t>年产25000吨四氢噻吩产品建设项目</w:t>
      </w:r>
      <w:r>
        <w:rPr>
          <w:rFonts w:ascii="Times New Roman" w:hAnsi="Times New Roman" w:eastAsia="宋体" w:cs="Times New Roman"/>
          <w:kern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Times New Roman"/>
          <w:color w:val="auto"/>
          <w:kern w:val="0"/>
          <w:sz w:val="24"/>
          <w:szCs w:val="24"/>
          <w:highlight w:val="none"/>
          <w:lang w:val="en-US" w:eastAsia="zh-CN" w:bidi="ar-SA"/>
        </w:rPr>
      </w:pPr>
      <w:r>
        <w:rPr>
          <w:rFonts w:hint="eastAsia"/>
          <w:sz w:val="24"/>
          <w:szCs w:val="24"/>
        </w:rPr>
        <w:t>本项目建设四氢噻吩生产车间、催化剂再生车间、仓库、罐区及公辅工程，并于生产车间内布置四条四氢噻吩生产线，同时本项目从安庆石化厂区建设5条管线至泰亨特厂区，其中1条DN250mm硫化氢管线从安庆石化硫磺装置接到泰亨特厂区，管长500m，硫化氢设计进气流量1.85t/h。同时新建管廊。另外依托凯美特气体现有管廊新建4条管线，从安庆石化厂区接至泰亨特厂区，管长均为200m，包括1条DN100mm蒸汽管线、1条DN50mm干气管线、1条DN50mm氮气管线和1条DN50mm仪表气管线。蒸汽设计流量为3.5t/h，干气设计流量100m</w:t>
      </w:r>
      <w:r>
        <w:rPr>
          <w:rFonts w:hint="eastAsia"/>
          <w:sz w:val="24"/>
          <w:szCs w:val="24"/>
          <w:vertAlign w:val="superscript"/>
        </w:rPr>
        <w:t>3</w:t>
      </w:r>
      <w:r>
        <w:rPr>
          <w:rFonts w:hint="eastAsia"/>
          <w:sz w:val="24"/>
          <w:szCs w:val="24"/>
        </w:rPr>
        <w:t>/h，仪表气设计流量为180m</w:t>
      </w:r>
      <w:r>
        <w:rPr>
          <w:rFonts w:hint="eastAsia"/>
          <w:sz w:val="24"/>
          <w:szCs w:val="24"/>
          <w:vertAlign w:val="superscript"/>
        </w:rPr>
        <w:t>3</w:t>
      </w:r>
      <w:r>
        <w:rPr>
          <w:rFonts w:hint="eastAsia"/>
          <w:sz w:val="24"/>
          <w:szCs w:val="24"/>
        </w:rPr>
        <w:t>/h，氮气设计流量为180m</w:t>
      </w:r>
      <w:r>
        <w:rPr>
          <w:rFonts w:hint="eastAsia"/>
          <w:sz w:val="24"/>
          <w:szCs w:val="24"/>
          <w:vertAlign w:val="superscript"/>
        </w:rPr>
        <w:t>3</w:t>
      </w:r>
      <w:r>
        <w:rPr>
          <w:rFonts w:hint="eastAsia"/>
          <w:sz w:val="24"/>
          <w:szCs w:val="24"/>
        </w:rPr>
        <w:t>/h</w:t>
      </w:r>
      <w:r>
        <w:rPr>
          <w:rFonts w:hint="eastAsia"/>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b/>
          <w:bCs/>
          <w:sz w:val="24"/>
          <w:szCs w:val="24"/>
        </w:rPr>
      </w:pPr>
      <w:r>
        <w:rPr>
          <w:rFonts w:hint="eastAsia" w:ascii="Times New Roman" w:hAnsi="Times New Roman"/>
          <w:b w:val="0"/>
          <w:bCs w:val="0"/>
          <w:sz w:val="24"/>
          <w:szCs w:val="24"/>
        </w:rPr>
        <w:t>1</w:t>
      </w:r>
      <w:r>
        <w:rPr>
          <w:rFonts w:hint="eastAsia"/>
          <w:b w:val="0"/>
          <w:bCs w:val="0"/>
          <w:sz w:val="24"/>
          <w:szCs w:val="24"/>
        </w:rPr>
        <w:t>.</w:t>
      </w:r>
      <w:r>
        <w:rPr>
          <w:rFonts w:hint="eastAsia" w:ascii="Times New Roman" w:hAnsi="Times New Roman"/>
          <w:b w:val="0"/>
          <w:bCs w:val="0"/>
          <w:sz w:val="24"/>
          <w:szCs w:val="24"/>
        </w:rPr>
        <w:t>2</w:t>
      </w:r>
      <w:r>
        <w:rPr>
          <w:rFonts w:hint="eastAsia"/>
          <w:b w:val="0"/>
          <w:bCs w:val="0"/>
          <w:sz w:val="24"/>
          <w:szCs w:val="24"/>
        </w:rPr>
        <w:t xml:space="preserve"> 施工简况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Times New Roman"/>
          <w:kern w:val="0"/>
          <w:sz w:val="24"/>
          <w:szCs w:val="24"/>
          <w:highlight w:val="none"/>
          <w:lang w:val="en-US" w:eastAsia="zh-CN"/>
        </w:rPr>
      </w:pPr>
      <w:r>
        <w:rPr>
          <w:rFonts w:hint="eastAsia" w:ascii="宋体" w:hAnsi="宋体"/>
          <w:kern w:val="0"/>
          <w:sz w:val="24"/>
          <w:szCs w:val="24"/>
          <w:highlight w:val="none"/>
          <w:lang w:eastAsia="zh-CN"/>
        </w:rPr>
        <w:t>安庆市生态环境局</w:t>
      </w:r>
      <w:r>
        <w:rPr>
          <w:rFonts w:hint="eastAsia" w:ascii="宋体" w:hAnsi="宋体"/>
          <w:kern w:val="0"/>
          <w:sz w:val="24"/>
          <w:szCs w:val="24"/>
          <w:highlight w:val="none"/>
        </w:rPr>
        <w:t>于</w:t>
      </w:r>
      <w:r>
        <w:rPr>
          <w:rFonts w:ascii="Times New Roman" w:hAnsi="Times New Roman" w:eastAsia="宋体" w:cs="Times New Roman"/>
          <w:kern w:val="0"/>
          <w:sz w:val="24"/>
          <w:szCs w:val="24"/>
          <w:highlight w:val="none"/>
        </w:rPr>
        <w:t>20</w:t>
      </w:r>
      <w:r>
        <w:rPr>
          <w:rFonts w:hint="eastAsia" w:ascii="Times New Roman" w:hAnsi="Times New Roman" w:eastAsia="宋体" w:cs="Times New Roman"/>
          <w:kern w:val="0"/>
          <w:sz w:val="24"/>
          <w:szCs w:val="24"/>
          <w:highlight w:val="none"/>
          <w:lang w:val="en-US" w:eastAsia="zh-CN"/>
        </w:rPr>
        <w:t>22</w:t>
      </w:r>
      <w:r>
        <w:rPr>
          <w:rFonts w:ascii="Times New Roman" w:hAnsi="Times New Roman" w:eastAsia="宋体" w:cs="Times New Roman"/>
          <w:kern w:val="0"/>
          <w:sz w:val="24"/>
          <w:szCs w:val="24"/>
          <w:highlight w:val="none"/>
        </w:rPr>
        <w:t>年</w:t>
      </w:r>
      <w:r>
        <w:rPr>
          <w:rFonts w:hint="eastAsia" w:ascii="Times New Roman" w:hAnsi="Times New Roman" w:eastAsia="宋体" w:cs="Times New Roman"/>
          <w:kern w:val="0"/>
          <w:sz w:val="24"/>
          <w:szCs w:val="24"/>
          <w:highlight w:val="none"/>
          <w:lang w:val="en-US" w:eastAsia="zh-CN"/>
        </w:rPr>
        <w:t>11</w:t>
      </w:r>
      <w:r>
        <w:rPr>
          <w:rFonts w:ascii="Times New Roman" w:hAnsi="Times New Roman" w:eastAsia="宋体" w:cs="Times New Roman"/>
          <w:kern w:val="0"/>
          <w:sz w:val="24"/>
          <w:szCs w:val="24"/>
          <w:highlight w:val="none"/>
        </w:rPr>
        <w:t>月</w:t>
      </w:r>
      <w:r>
        <w:rPr>
          <w:rFonts w:hint="eastAsia" w:ascii="Times New Roman" w:hAnsi="Times New Roman" w:eastAsia="宋体" w:cs="Times New Roman"/>
          <w:kern w:val="0"/>
          <w:sz w:val="24"/>
          <w:szCs w:val="24"/>
          <w:highlight w:val="none"/>
          <w:lang w:val="en-US" w:eastAsia="zh-CN"/>
        </w:rPr>
        <w:t>1</w:t>
      </w:r>
      <w:r>
        <w:rPr>
          <w:rFonts w:ascii="Times New Roman" w:hAnsi="Times New Roman" w:eastAsia="宋体" w:cs="Times New Roman"/>
          <w:kern w:val="0"/>
          <w:sz w:val="24"/>
          <w:szCs w:val="24"/>
          <w:highlight w:val="none"/>
        </w:rPr>
        <w:t>日</w:t>
      </w:r>
      <w:r>
        <w:rPr>
          <w:color w:val="000000"/>
          <w:sz w:val="24"/>
          <w:highlight w:val="none"/>
        </w:rPr>
        <w:t>下发</w:t>
      </w:r>
      <w:r>
        <w:rPr>
          <w:rFonts w:hint="eastAsia"/>
          <w:sz w:val="24"/>
          <w:szCs w:val="24"/>
          <w:highlight w:val="none"/>
          <w:lang w:eastAsia="zh-CN"/>
        </w:rPr>
        <w:t>“</w:t>
      </w:r>
      <w:r>
        <w:rPr>
          <w:rFonts w:hint="eastAsia"/>
          <w:kern w:val="0"/>
          <w:sz w:val="24"/>
          <w:szCs w:val="24"/>
          <w:highlight w:val="none"/>
        </w:rPr>
        <w:t>安徽泰亨特科技有限公司年产25000吨四氢噻吩产品建设项目</w:t>
      </w:r>
      <w:r>
        <w:rPr>
          <w:rFonts w:hint="eastAsia"/>
          <w:color w:val="auto"/>
          <w:sz w:val="24"/>
          <w:szCs w:val="24"/>
          <w:highlight w:val="none"/>
        </w:rPr>
        <w:t>环境影响报告书审查意见的函</w:t>
      </w:r>
      <w:r>
        <w:rPr>
          <w:rFonts w:hint="eastAsia"/>
          <w:sz w:val="24"/>
          <w:szCs w:val="24"/>
          <w:highlight w:val="none"/>
          <w:lang w:eastAsia="zh-CN"/>
        </w:rPr>
        <w:t>”</w:t>
      </w:r>
      <w:r>
        <w:rPr>
          <w:sz w:val="24"/>
          <w:szCs w:val="24"/>
          <w:highlight w:val="none"/>
        </w:rPr>
        <w:t>（</w:t>
      </w:r>
      <w:r>
        <w:rPr>
          <w:rFonts w:hint="eastAsia" w:ascii="Times New Roman" w:hAnsi="Times New Roman" w:eastAsia="宋体"/>
          <w:sz w:val="24"/>
          <w:szCs w:val="24"/>
          <w:highlight w:val="none"/>
          <w:lang w:eastAsia="zh-CN"/>
        </w:rPr>
        <w:t>宜</w:t>
      </w:r>
      <w:r>
        <w:rPr>
          <w:rFonts w:ascii="Times New Roman" w:hAnsi="Times New Roman" w:eastAsia="宋体"/>
          <w:sz w:val="24"/>
          <w:szCs w:val="24"/>
          <w:highlight w:val="none"/>
          <w:lang w:eastAsia="zh-CN"/>
        </w:rPr>
        <w:t>环建函</w:t>
      </w:r>
      <w:r>
        <w:rPr>
          <w:rFonts w:hint="eastAsia"/>
          <w:color w:val="auto"/>
          <w:sz w:val="24"/>
          <w:szCs w:val="24"/>
          <w:highlight w:val="none"/>
        </w:rPr>
        <w:t>【</w:t>
      </w:r>
      <w:r>
        <w:rPr>
          <w:color w:val="auto"/>
          <w:sz w:val="24"/>
          <w:szCs w:val="24"/>
          <w:highlight w:val="none"/>
        </w:rPr>
        <w:t>20</w:t>
      </w:r>
      <w:r>
        <w:rPr>
          <w:rFonts w:hint="eastAsia"/>
          <w:color w:val="auto"/>
          <w:sz w:val="24"/>
          <w:szCs w:val="24"/>
          <w:highlight w:val="none"/>
          <w:lang w:val="en-US" w:eastAsia="zh-CN"/>
        </w:rPr>
        <w:t>22</w:t>
      </w:r>
      <w:r>
        <w:rPr>
          <w:rFonts w:hint="eastAsia"/>
          <w:color w:val="auto"/>
          <w:sz w:val="24"/>
          <w:szCs w:val="24"/>
          <w:highlight w:val="none"/>
        </w:rPr>
        <w:t>】</w:t>
      </w:r>
      <w:r>
        <w:rPr>
          <w:rFonts w:hint="eastAsia" w:ascii="Times New Roman" w:hAnsi="Times New Roman" w:eastAsia="宋体" w:cs="Times New Roman"/>
          <w:kern w:val="0"/>
          <w:sz w:val="24"/>
          <w:szCs w:val="24"/>
          <w:highlight w:val="none"/>
          <w:lang w:val="en-US" w:eastAsia="zh-CN"/>
        </w:rPr>
        <w:t>55</w:t>
      </w:r>
      <w:r>
        <w:rPr>
          <w:rFonts w:ascii="Times New Roman" w:hAnsi="Times New Roman" w:eastAsia="宋体"/>
          <w:sz w:val="24"/>
          <w:szCs w:val="24"/>
          <w:highlight w:val="none"/>
          <w:lang w:eastAsia="zh-CN"/>
        </w:rPr>
        <w:t>号</w:t>
      </w:r>
      <w:r>
        <w:rPr>
          <w:sz w:val="24"/>
          <w:szCs w:val="24"/>
          <w:highlight w:val="none"/>
        </w:rPr>
        <w:t>）</w:t>
      </w:r>
      <w:r>
        <w:rPr>
          <w:rFonts w:hint="eastAsia" w:ascii="宋体" w:hAnsi="宋体" w:eastAsia="宋体" w:cs="Times New Roman"/>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Times New Roman"/>
          <w:kern w:val="0"/>
          <w:sz w:val="24"/>
          <w:szCs w:val="24"/>
          <w:highlight w:val="none"/>
          <w:lang w:val="en-US" w:eastAsia="zh-CN"/>
        </w:rPr>
      </w:pPr>
      <w:r>
        <w:rPr>
          <w:color w:val="auto"/>
          <w:sz w:val="24"/>
          <w:szCs w:val="24"/>
          <w:highlight w:val="none"/>
        </w:rPr>
        <w:t>本次验收项目</w:t>
      </w:r>
      <w:r>
        <w:rPr>
          <w:rFonts w:hint="eastAsia"/>
          <w:color w:val="auto"/>
          <w:sz w:val="24"/>
          <w:highlight w:val="none"/>
          <w:lang w:eastAsia="zh-CN"/>
        </w:rPr>
        <w:t>于</w:t>
      </w:r>
      <w:r>
        <w:rPr>
          <w:rFonts w:hint="eastAsia" w:ascii="Times New Roman" w:hAnsi="Times New Roman"/>
          <w:color w:val="auto"/>
          <w:kern w:val="0"/>
          <w:sz w:val="24"/>
          <w:szCs w:val="24"/>
          <w:highlight w:val="none"/>
        </w:rPr>
        <w:t>20</w:t>
      </w:r>
      <w:r>
        <w:rPr>
          <w:rFonts w:hint="eastAsia" w:ascii="Times New Roman" w:hAnsi="Times New Roman"/>
          <w:color w:val="auto"/>
          <w:kern w:val="0"/>
          <w:sz w:val="24"/>
          <w:szCs w:val="24"/>
          <w:highlight w:val="none"/>
          <w:lang w:val="en-US" w:eastAsia="zh-CN"/>
        </w:rPr>
        <w:t>22</w:t>
      </w:r>
      <w:r>
        <w:rPr>
          <w:rFonts w:hint="eastAsia" w:ascii="宋体" w:hAnsi="宋体"/>
          <w:color w:val="auto"/>
          <w:kern w:val="0"/>
          <w:sz w:val="24"/>
          <w:szCs w:val="24"/>
          <w:highlight w:val="none"/>
        </w:rPr>
        <w:t>年</w:t>
      </w:r>
      <w:r>
        <w:rPr>
          <w:rFonts w:hint="eastAsia" w:ascii="Times New Roman" w:hAnsi="Times New Roman"/>
          <w:color w:val="auto"/>
          <w:kern w:val="0"/>
          <w:sz w:val="24"/>
          <w:szCs w:val="24"/>
          <w:highlight w:val="none"/>
          <w:lang w:val="en-US" w:eastAsia="zh-CN"/>
        </w:rPr>
        <w:t>11</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开工</w:t>
      </w:r>
      <w:r>
        <w:rPr>
          <w:rFonts w:hint="eastAsia" w:ascii="宋体" w:hAnsi="宋体"/>
          <w:color w:val="auto"/>
          <w:kern w:val="0"/>
          <w:sz w:val="24"/>
          <w:szCs w:val="24"/>
          <w:highlight w:val="none"/>
        </w:rPr>
        <w:t>建设，</w:t>
      </w:r>
      <w:r>
        <w:rPr>
          <w:rFonts w:hint="eastAsia" w:ascii="宋体" w:hAnsi="宋体"/>
          <w:color w:val="auto"/>
          <w:kern w:val="0"/>
          <w:sz w:val="24"/>
          <w:szCs w:val="24"/>
          <w:highlight w:val="none"/>
          <w:lang w:eastAsia="zh-CN"/>
        </w:rPr>
        <w:t>于</w:t>
      </w:r>
      <w:r>
        <w:rPr>
          <w:rFonts w:hint="default" w:ascii="Times New Roman" w:hAnsi="Times New Roman" w:cs="Times New Roman"/>
          <w:color w:val="auto"/>
          <w:kern w:val="0"/>
          <w:sz w:val="24"/>
          <w:szCs w:val="24"/>
          <w:highlight w:val="none"/>
          <w:lang w:val="en-US" w:eastAsia="zh-CN"/>
        </w:rPr>
        <w:t>202</w:t>
      </w:r>
      <w:r>
        <w:rPr>
          <w:rFonts w:hint="eastAsia" w:ascii="Times New Roman" w:hAnsi="Times New Roman" w:cs="Times New Roman"/>
          <w:color w:val="auto"/>
          <w:kern w:val="0"/>
          <w:sz w:val="24"/>
          <w:szCs w:val="24"/>
          <w:highlight w:val="none"/>
          <w:lang w:val="en-US" w:eastAsia="zh-CN"/>
        </w:rPr>
        <w:t>3</w:t>
      </w:r>
      <w:r>
        <w:rPr>
          <w:rFonts w:hint="eastAsia" w:ascii="宋体" w:hAnsi="宋体"/>
          <w:color w:val="auto"/>
          <w:kern w:val="0"/>
          <w:sz w:val="24"/>
          <w:szCs w:val="24"/>
          <w:highlight w:val="none"/>
          <w:lang w:val="en-US" w:eastAsia="zh-CN"/>
        </w:rPr>
        <w:t>年</w:t>
      </w:r>
      <w:r>
        <w:rPr>
          <w:rFonts w:hint="eastAsia" w:ascii="Times New Roman" w:hAnsi="Times New Roman" w:eastAsia="宋体" w:cs="Times New Roman"/>
          <w:color w:val="auto"/>
          <w:kern w:val="0"/>
          <w:sz w:val="24"/>
          <w:szCs w:val="24"/>
          <w:highlight w:val="none"/>
          <w:lang w:val="en-US" w:eastAsia="zh-CN"/>
        </w:rPr>
        <w:t>3</w:t>
      </w:r>
      <w:r>
        <w:rPr>
          <w:rFonts w:hint="eastAsia" w:ascii="宋体" w:hAnsi="宋体" w:eastAsia="宋体" w:cs="Times New Roman"/>
          <w:color w:val="auto"/>
          <w:kern w:val="0"/>
          <w:sz w:val="24"/>
          <w:szCs w:val="24"/>
          <w:highlight w:val="none"/>
          <w:lang w:val="en-US" w:eastAsia="zh-CN"/>
        </w:rPr>
        <w:t>月</w:t>
      </w:r>
      <w:r>
        <w:rPr>
          <w:rFonts w:hint="default" w:ascii="Times New Roman" w:hAnsi="Times New Roman" w:eastAsia="宋体" w:cs="Times New Roman"/>
          <w:color w:val="auto"/>
          <w:kern w:val="0"/>
          <w:sz w:val="24"/>
          <w:szCs w:val="24"/>
          <w:highlight w:val="none"/>
          <w:lang w:val="en-US" w:eastAsia="zh-CN"/>
        </w:rPr>
        <w:t>25</w:t>
      </w:r>
      <w:r>
        <w:rPr>
          <w:rFonts w:hint="eastAsia" w:ascii="宋体" w:hAnsi="宋体" w:eastAsia="宋体" w:cs="Times New Roman"/>
          <w:color w:val="auto"/>
          <w:kern w:val="0"/>
          <w:sz w:val="24"/>
          <w:szCs w:val="24"/>
          <w:highlight w:val="none"/>
          <w:lang w:val="en-US" w:eastAsia="zh-CN"/>
        </w:rPr>
        <w:t>日建设完成</w:t>
      </w:r>
      <w:r>
        <w:rPr>
          <w:rFonts w:hint="eastAsia" w:ascii="宋体" w:hAnsi="宋体" w:eastAsia="宋体" w:cs="Times New Roman"/>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Times New Roman"/>
          <w:kern w:val="0"/>
          <w:sz w:val="24"/>
          <w:szCs w:val="24"/>
          <w:highlight w:val="none"/>
          <w:lang w:val="en-US" w:eastAsia="zh-CN"/>
        </w:rPr>
      </w:pPr>
      <w:r>
        <w:rPr>
          <w:color w:val="auto"/>
          <w:kern w:val="0"/>
          <w:sz w:val="24"/>
          <w:szCs w:val="24"/>
          <w:highlight w:val="none"/>
        </w:rPr>
        <w:t>企业于</w:t>
      </w:r>
      <w:r>
        <w:rPr>
          <w:rFonts w:hint="eastAsia" w:ascii="宋体" w:hAnsi="宋体" w:eastAsia="宋体" w:cs="Times New Roman"/>
          <w:kern w:val="0"/>
          <w:sz w:val="24"/>
          <w:szCs w:val="24"/>
          <w:highlight w:val="none"/>
          <w:lang w:val="en-US" w:eastAsia="zh-CN"/>
        </w:rPr>
        <w:t>于</w:t>
      </w:r>
      <w:r>
        <w:rPr>
          <w:rFonts w:hint="default" w:ascii="Times New Roman" w:hAnsi="Times New Roman" w:eastAsia="宋体" w:cs="Times New Roman"/>
          <w:kern w:val="0"/>
          <w:sz w:val="24"/>
          <w:szCs w:val="24"/>
          <w:highlight w:val="none"/>
          <w:lang w:val="en-US" w:eastAsia="zh-CN"/>
        </w:rPr>
        <w:t>202</w:t>
      </w:r>
      <w:r>
        <w:rPr>
          <w:rFonts w:hint="eastAsia" w:ascii="Times New Roman" w:hAnsi="Times New Roman" w:eastAsia="宋体" w:cs="Times New Roman"/>
          <w:kern w:val="0"/>
          <w:sz w:val="24"/>
          <w:szCs w:val="24"/>
          <w:highlight w:val="none"/>
          <w:lang w:val="en-US" w:eastAsia="zh-CN"/>
        </w:rPr>
        <w:t>3</w:t>
      </w:r>
      <w:r>
        <w:rPr>
          <w:rFonts w:hint="eastAsia" w:ascii="宋体" w:hAnsi="宋体" w:eastAsia="宋体" w:cs="Times New Roman"/>
          <w:kern w:val="0"/>
          <w:sz w:val="24"/>
          <w:szCs w:val="24"/>
          <w:highlight w:val="none"/>
          <w:lang w:val="en-US" w:eastAsia="zh-CN"/>
        </w:rPr>
        <w:t>年</w:t>
      </w:r>
      <w:r>
        <w:rPr>
          <w:rFonts w:hint="eastAsia" w:ascii="Times New Roman" w:hAnsi="Times New Roman" w:eastAsia="宋体" w:cs="Times New Roman"/>
          <w:kern w:val="0"/>
          <w:sz w:val="24"/>
          <w:szCs w:val="24"/>
          <w:highlight w:val="none"/>
          <w:lang w:val="en-US" w:eastAsia="zh-CN"/>
        </w:rPr>
        <w:t>5</w:t>
      </w:r>
      <w:r>
        <w:rPr>
          <w:rFonts w:hint="eastAsia" w:ascii="宋体" w:hAnsi="宋体" w:eastAsia="宋体" w:cs="Times New Roman"/>
          <w:kern w:val="0"/>
          <w:sz w:val="24"/>
          <w:szCs w:val="24"/>
          <w:highlight w:val="none"/>
          <w:lang w:val="en-US" w:eastAsia="zh-CN"/>
        </w:rPr>
        <w:t>月申领排污许可证（证书编号：</w:t>
      </w:r>
      <w:r>
        <w:rPr>
          <w:b w:val="0"/>
          <w:bCs/>
          <w:sz w:val="24"/>
        </w:rPr>
        <w:t>91340803MA8NX4EB2Q001V</w:t>
      </w:r>
      <w:r>
        <w:rPr>
          <w:rFonts w:hint="eastAsia" w:ascii="宋体" w:hAnsi="宋体" w:eastAsia="宋体" w:cs="Times New Roman"/>
          <w:kern w:val="0"/>
          <w:sz w:val="24"/>
          <w:szCs w:val="24"/>
          <w:highlight w:val="none"/>
          <w:lang w:val="en-US" w:eastAsia="zh-CN"/>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color w:val="auto"/>
          <w:kern w:val="0"/>
          <w:sz w:val="24"/>
          <w:highlight w:val="none"/>
        </w:rPr>
        <w:t>企业于</w:t>
      </w:r>
      <w:r>
        <w:rPr>
          <w:color w:val="000000"/>
          <w:sz w:val="24"/>
          <w:highlight w:val="none"/>
        </w:rPr>
        <w:t>202</w:t>
      </w:r>
      <w:r>
        <w:rPr>
          <w:rFonts w:hint="eastAsia"/>
          <w:color w:val="000000"/>
          <w:sz w:val="24"/>
          <w:highlight w:val="none"/>
          <w:lang w:val="en-US" w:eastAsia="zh-CN"/>
        </w:rPr>
        <w:t>3</w:t>
      </w:r>
      <w:r>
        <w:rPr>
          <w:color w:val="000000"/>
          <w:sz w:val="24"/>
          <w:highlight w:val="none"/>
        </w:rPr>
        <w:t>年</w:t>
      </w:r>
      <w:r>
        <w:rPr>
          <w:rFonts w:hint="eastAsia"/>
          <w:color w:val="000000"/>
          <w:sz w:val="24"/>
          <w:highlight w:val="none"/>
          <w:lang w:val="en-US" w:eastAsia="zh-CN"/>
        </w:rPr>
        <w:t>4</w:t>
      </w:r>
      <w:r>
        <w:rPr>
          <w:color w:val="000000"/>
          <w:sz w:val="24"/>
          <w:highlight w:val="none"/>
        </w:rPr>
        <w:t>月组织编制完成了《</w:t>
      </w:r>
      <w:r>
        <w:rPr>
          <w:rFonts w:hint="eastAsia" w:ascii="Times New Roman" w:hAnsi="Times New Roman" w:eastAsia="宋体"/>
          <w:sz w:val="24"/>
          <w:szCs w:val="24"/>
          <w:lang w:eastAsia="zh-CN"/>
        </w:rPr>
        <w:t>安徽泰亨特科技有限公司</w:t>
      </w:r>
      <w:r>
        <w:rPr>
          <w:color w:val="000000"/>
          <w:sz w:val="24"/>
          <w:highlight w:val="none"/>
        </w:rPr>
        <w:t>突发环境事件应急预案》，并已完成备案（备案号</w:t>
      </w:r>
      <w:r>
        <w:rPr>
          <w:rFonts w:hint="eastAsia"/>
          <w:color w:val="000000"/>
          <w:sz w:val="24"/>
          <w:highlight w:val="none"/>
          <w:lang w:eastAsia="zh-CN"/>
        </w:rPr>
        <w:t>：</w:t>
      </w:r>
      <w:r>
        <w:rPr>
          <w:color w:val="000000"/>
          <w:sz w:val="24"/>
          <w:highlight w:val="none"/>
        </w:rPr>
        <w:t>3408</w:t>
      </w:r>
      <w:r>
        <w:rPr>
          <w:rFonts w:hint="eastAsia"/>
          <w:color w:val="000000"/>
          <w:sz w:val="24"/>
          <w:highlight w:val="none"/>
          <w:lang w:val="en-US" w:eastAsia="zh-CN"/>
        </w:rPr>
        <w:t>03</w:t>
      </w:r>
      <w:r>
        <w:rPr>
          <w:color w:val="000000"/>
          <w:sz w:val="24"/>
          <w:highlight w:val="none"/>
        </w:rPr>
        <w:t>-20</w:t>
      </w:r>
      <w:r>
        <w:rPr>
          <w:rFonts w:hint="eastAsia"/>
          <w:color w:val="000000"/>
          <w:sz w:val="24"/>
          <w:highlight w:val="none"/>
          <w:lang w:val="en-US" w:eastAsia="zh-CN"/>
        </w:rPr>
        <w:t>23</w:t>
      </w:r>
      <w:r>
        <w:rPr>
          <w:color w:val="000000"/>
          <w:sz w:val="24"/>
          <w:highlight w:val="none"/>
        </w:rPr>
        <w:t>-0</w:t>
      </w:r>
      <w:r>
        <w:rPr>
          <w:rFonts w:hint="eastAsia"/>
          <w:color w:val="000000"/>
          <w:sz w:val="24"/>
          <w:highlight w:val="none"/>
          <w:lang w:val="en-US" w:eastAsia="zh-CN"/>
        </w:rPr>
        <w:t>03</w:t>
      </w:r>
      <w:r>
        <w:rPr>
          <w:color w:val="000000"/>
          <w:sz w:val="24"/>
          <w:highlight w:val="none"/>
        </w:rPr>
        <w:t>-H）</w:t>
      </w:r>
      <w:r>
        <w:rPr>
          <w:rFonts w:hint="eastAsia"/>
          <w:sz w:val="24"/>
          <w:szCs w:val="24"/>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b w:val="0"/>
          <w:bCs w:val="0"/>
          <w:sz w:val="24"/>
          <w:szCs w:val="24"/>
        </w:rPr>
      </w:pPr>
      <w:r>
        <w:rPr>
          <w:rFonts w:hint="eastAsia" w:ascii="Times New Roman" w:hAnsi="Times New Roman"/>
          <w:b w:val="0"/>
          <w:bCs w:val="0"/>
          <w:sz w:val="24"/>
          <w:szCs w:val="24"/>
        </w:rPr>
        <w:t>1</w:t>
      </w:r>
      <w:r>
        <w:rPr>
          <w:rFonts w:hint="eastAsia"/>
          <w:b w:val="0"/>
          <w:bCs w:val="0"/>
          <w:sz w:val="24"/>
          <w:szCs w:val="24"/>
        </w:rPr>
        <w:t>.</w:t>
      </w:r>
      <w:r>
        <w:rPr>
          <w:rFonts w:hint="eastAsia" w:ascii="Times New Roman" w:hAnsi="Times New Roman"/>
          <w:b w:val="0"/>
          <w:bCs w:val="0"/>
          <w:sz w:val="24"/>
          <w:szCs w:val="24"/>
        </w:rPr>
        <w:t>3</w:t>
      </w:r>
      <w:r>
        <w:rPr>
          <w:rFonts w:hint="eastAsia"/>
          <w:b w:val="0"/>
          <w:bCs w:val="0"/>
          <w:sz w:val="24"/>
          <w:szCs w:val="24"/>
        </w:rPr>
        <w:t xml:space="preserve"> 验收过程简况</w:t>
      </w:r>
    </w:p>
    <w:p>
      <w:pPr>
        <w:pStyle w:val="15"/>
        <w:keepNext w:val="0"/>
        <w:keepLines w:val="0"/>
        <w:pageBreakBefore w:val="0"/>
        <w:widowControl/>
        <w:kinsoku/>
        <w:wordWrap/>
        <w:overflowPunct/>
        <w:topLinePunct w:val="0"/>
        <w:autoSpaceDE/>
        <w:autoSpaceDN/>
        <w:bidi w:val="0"/>
        <w:adjustRightInd/>
        <w:snapToGrid/>
        <w:spacing w:before="0" w:after="0" w:line="360" w:lineRule="auto"/>
        <w:ind w:firstLine="492" w:firstLineChars="200"/>
        <w:jc w:val="left"/>
        <w:textAlignment w:val="auto"/>
        <w:rPr>
          <w:rFonts w:ascii="Times New Roman" w:hAnsi="Times New Roman"/>
          <w:sz w:val="24"/>
          <w:lang w:eastAsia="zh-CN"/>
        </w:rPr>
      </w:pPr>
      <w:r>
        <w:rPr>
          <w:rFonts w:ascii="Times New Roman" w:hAnsi="Times New Roman" w:eastAsia="宋体"/>
          <w:spacing w:val="3"/>
          <w:sz w:val="24"/>
          <w:szCs w:val="24"/>
          <w:lang w:eastAsia="zh-CN"/>
        </w:rPr>
        <w:t>20</w:t>
      </w:r>
      <w:r>
        <w:rPr>
          <w:rFonts w:hint="eastAsia" w:ascii="Times New Roman" w:hAnsi="Times New Roman" w:eastAsia="宋体"/>
          <w:spacing w:val="3"/>
          <w:sz w:val="24"/>
          <w:szCs w:val="24"/>
          <w:lang w:val="en-US" w:eastAsia="zh-CN"/>
        </w:rPr>
        <w:t>23</w:t>
      </w:r>
      <w:r>
        <w:rPr>
          <w:rFonts w:ascii="Times New Roman" w:hAnsi="Times New Roman" w:eastAsia="宋体"/>
          <w:spacing w:val="3"/>
          <w:sz w:val="24"/>
          <w:szCs w:val="24"/>
          <w:lang w:eastAsia="zh-CN"/>
        </w:rPr>
        <w:t>年</w:t>
      </w:r>
      <w:r>
        <w:rPr>
          <w:rFonts w:hint="eastAsia" w:ascii="Times New Roman" w:hAnsi="Times New Roman" w:eastAsia="宋体"/>
          <w:color w:val="auto"/>
          <w:spacing w:val="3"/>
          <w:sz w:val="24"/>
          <w:szCs w:val="24"/>
          <w:lang w:val="en-US" w:eastAsia="zh-CN"/>
        </w:rPr>
        <w:t>6</w:t>
      </w:r>
      <w:r>
        <w:rPr>
          <w:rFonts w:ascii="Times New Roman" w:hAnsi="Times New Roman" w:eastAsia="宋体"/>
          <w:color w:val="auto"/>
          <w:spacing w:val="3"/>
          <w:sz w:val="24"/>
          <w:szCs w:val="24"/>
          <w:lang w:eastAsia="zh-CN"/>
        </w:rPr>
        <w:t>月</w:t>
      </w:r>
      <w:r>
        <w:rPr>
          <w:rFonts w:hint="eastAsia" w:ascii="Times New Roman" w:hAnsi="Times New Roman" w:eastAsia="宋体"/>
          <w:sz w:val="24"/>
          <w:szCs w:val="24"/>
          <w:lang w:eastAsia="zh-CN"/>
        </w:rPr>
        <w:t>安徽泰亨特科技有限公司</w:t>
      </w:r>
      <w:r>
        <w:rPr>
          <w:rFonts w:ascii="Times New Roman" w:hAnsi="Times New Roman" w:eastAsia="宋体"/>
          <w:color w:val="auto"/>
          <w:spacing w:val="3"/>
          <w:sz w:val="24"/>
          <w:szCs w:val="24"/>
          <w:lang w:eastAsia="zh-CN"/>
        </w:rPr>
        <w:t>与</w:t>
      </w:r>
      <w:r>
        <w:rPr>
          <w:rFonts w:hint="eastAsia" w:ascii="Times New Roman" w:hAnsi="Times New Roman" w:eastAsia="宋体"/>
          <w:color w:val="auto"/>
          <w:spacing w:val="3"/>
          <w:sz w:val="24"/>
          <w:szCs w:val="24"/>
          <w:lang w:eastAsia="zh-CN"/>
        </w:rPr>
        <w:t>安徽质环检测科技有限公司</w:t>
      </w:r>
      <w:r>
        <w:rPr>
          <w:rFonts w:ascii="Times New Roman" w:hAnsi="Times New Roman" w:eastAsia="宋体"/>
          <w:color w:val="auto"/>
          <w:spacing w:val="3"/>
          <w:sz w:val="24"/>
          <w:szCs w:val="24"/>
          <w:lang w:eastAsia="zh-CN"/>
        </w:rPr>
        <w:t>派出</w:t>
      </w:r>
      <w:r>
        <w:rPr>
          <w:rFonts w:ascii="Times New Roman" w:hAnsi="Times New Roman" w:eastAsia="宋体"/>
          <w:color w:val="auto"/>
          <w:sz w:val="24"/>
          <w:lang w:eastAsia="zh-CN"/>
        </w:rPr>
        <w:t>专业技术人员对该项目环保设施的建设和</w:t>
      </w:r>
      <w:r>
        <w:rPr>
          <w:rFonts w:ascii="Times New Roman" w:hAnsi="Times New Roman" w:eastAsia="宋体"/>
          <w:color w:val="auto"/>
          <w:spacing w:val="3"/>
          <w:sz w:val="24"/>
          <w:lang w:eastAsia="zh-CN"/>
        </w:rPr>
        <w:t>运行情况进行了现场勘察，</w:t>
      </w:r>
      <w:r>
        <w:rPr>
          <w:rFonts w:ascii="Times New Roman" w:hAnsi="Times New Roman"/>
          <w:color w:val="auto"/>
          <w:spacing w:val="3"/>
          <w:sz w:val="24"/>
          <w:lang w:eastAsia="zh-CN"/>
        </w:rPr>
        <w:t>查阅和收集了有关文件及技术资料。在现场勘察和对有关</w:t>
      </w:r>
      <w:r>
        <w:rPr>
          <w:rFonts w:ascii="Times New Roman" w:hAnsi="Times New Roman"/>
          <w:color w:val="auto"/>
          <w:sz w:val="24"/>
          <w:lang w:eastAsia="zh-CN"/>
        </w:rPr>
        <w:t>资料分析的基础上，编制了项目验收监测方案</w:t>
      </w:r>
      <w:r>
        <w:rPr>
          <w:rFonts w:ascii="Times New Roman" w:hAnsi="Times New Roman"/>
          <w:sz w:val="24"/>
          <w:lang w:eastAsia="zh-CN"/>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ascii="Times New Roman" w:hAnsi="Times New Roman"/>
          <w:sz w:val="24"/>
          <w:lang w:eastAsia="zh-CN"/>
        </w:rPr>
        <w:t xml:space="preserve"> </w:t>
      </w:r>
      <w:r>
        <w:rPr>
          <w:rFonts w:ascii="Times New Roman" w:hAnsi="Times New Roman"/>
          <w:color w:val="000000"/>
          <w:sz w:val="24"/>
          <w:highlight w:val="none"/>
          <w:lang w:eastAsia="zh-CN"/>
        </w:rPr>
        <w:t>20</w:t>
      </w:r>
      <w:r>
        <w:rPr>
          <w:rFonts w:hint="eastAsia" w:ascii="Times New Roman" w:hAnsi="Times New Roman" w:eastAsia="宋体"/>
          <w:color w:val="000000"/>
          <w:sz w:val="24"/>
          <w:highlight w:val="none"/>
          <w:lang w:val="en-US" w:eastAsia="zh-CN"/>
        </w:rPr>
        <w:t>23</w:t>
      </w:r>
      <w:r>
        <w:rPr>
          <w:rFonts w:ascii="Times New Roman" w:hAnsi="Times New Roman"/>
          <w:color w:val="000000"/>
          <w:sz w:val="24"/>
          <w:highlight w:val="none"/>
          <w:lang w:eastAsia="zh-CN"/>
        </w:rPr>
        <w:t>年</w:t>
      </w:r>
      <w:r>
        <w:rPr>
          <w:rFonts w:hint="eastAsia" w:ascii="Times New Roman" w:hAnsi="Times New Roman"/>
          <w:color w:val="000000"/>
          <w:sz w:val="24"/>
          <w:highlight w:val="none"/>
          <w:lang w:val="en-US" w:eastAsia="zh-CN"/>
        </w:rPr>
        <w:t>6</w:t>
      </w:r>
      <w:r>
        <w:rPr>
          <w:rFonts w:ascii="Times New Roman" w:hAnsi="Times New Roman"/>
          <w:color w:val="000000"/>
          <w:sz w:val="24"/>
          <w:highlight w:val="none"/>
          <w:lang w:eastAsia="zh-CN"/>
        </w:rPr>
        <w:t>月</w:t>
      </w:r>
      <w:r>
        <w:rPr>
          <w:rFonts w:hint="eastAsia" w:ascii="Times New Roman" w:hAnsi="Times New Roman"/>
          <w:color w:val="000000"/>
          <w:sz w:val="24"/>
          <w:highlight w:val="none"/>
          <w:lang w:val="en-US" w:eastAsia="zh-CN"/>
        </w:rPr>
        <w:t>25</w:t>
      </w:r>
      <w:r>
        <w:rPr>
          <w:rFonts w:ascii="Times New Roman" w:hAnsi="Times New Roman"/>
          <w:color w:val="000000"/>
          <w:sz w:val="24"/>
          <w:highlight w:val="none"/>
          <w:lang w:eastAsia="zh-CN"/>
        </w:rPr>
        <w:t>日至</w:t>
      </w:r>
      <w:r>
        <w:rPr>
          <w:rFonts w:hint="eastAsia" w:ascii="Times New Roman" w:hAnsi="Times New Roman" w:eastAsia="宋体"/>
          <w:color w:val="000000"/>
          <w:sz w:val="24"/>
          <w:highlight w:val="none"/>
          <w:lang w:val="en-US" w:eastAsia="zh-CN"/>
        </w:rPr>
        <w:t>26</w:t>
      </w:r>
      <w:r>
        <w:rPr>
          <w:rFonts w:ascii="Times New Roman" w:hAnsi="Times New Roman"/>
          <w:color w:val="000000"/>
          <w:sz w:val="24"/>
          <w:highlight w:val="none"/>
          <w:lang w:eastAsia="zh-CN"/>
        </w:rPr>
        <w:t>日</w:t>
      </w:r>
      <w:r>
        <w:rPr>
          <w:rFonts w:hint="eastAsia" w:ascii="Times New Roman" w:hAnsi="Times New Roman"/>
          <w:color w:val="000000"/>
          <w:sz w:val="24"/>
          <w:highlight w:val="none"/>
          <w:lang w:eastAsia="zh-CN"/>
        </w:rPr>
        <w:t>及</w:t>
      </w:r>
      <w:r>
        <w:rPr>
          <w:rFonts w:hint="eastAsia" w:ascii="Times New Roman" w:hAnsi="Times New Roman"/>
          <w:color w:val="000000"/>
          <w:sz w:val="24"/>
          <w:highlight w:val="none"/>
          <w:lang w:val="en-US" w:eastAsia="zh-CN"/>
        </w:rPr>
        <w:t>7月16日至17日</w:t>
      </w:r>
      <w:r>
        <w:rPr>
          <w:rFonts w:hint="eastAsia" w:ascii="Times New Roman" w:hAnsi="Times New Roman"/>
          <w:color w:val="000000"/>
          <w:sz w:val="24"/>
          <w:highlight w:val="none"/>
          <w:lang w:eastAsia="zh-CN"/>
        </w:rPr>
        <w:t>委托安徽质环检测科技有限公司</w:t>
      </w:r>
      <w:r>
        <w:rPr>
          <w:rFonts w:ascii="Times New Roman" w:hAnsi="Times New Roman"/>
          <w:color w:val="000000"/>
          <w:sz w:val="24"/>
          <w:lang w:eastAsia="zh-CN"/>
        </w:rPr>
        <w:t>就本项目生产过程中产生废水、废气、噪声等污染防治设施的处理能力及污染物排放现状进行了现场监测。根据验</w:t>
      </w:r>
      <w:r>
        <w:rPr>
          <w:rFonts w:ascii="Times New Roman" w:hAnsi="Times New Roman"/>
          <w:sz w:val="24"/>
          <w:lang w:eastAsia="zh-CN"/>
        </w:rPr>
        <w:t>收监测结果和现场检查情况，</w:t>
      </w:r>
      <w:r>
        <w:rPr>
          <w:rFonts w:hint="eastAsia" w:ascii="Times New Roman" w:hAnsi="Times New Roman" w:eastAsia="宋体"/>
          <w:sz w:val="24"/>
          <w:szCs w:val="24"/>
          <w:lang w:eastAsia="zh-CN"/>
        </w:rPr>
        <w:t>安徽质环检测科技有限</w:t>
      </w:r>
      <w:r>
        <w:rPr>
          <w:rFonts w:hint="eastAsia" w:ascii="Times New Roman" w:hAnsi="Times New Roman" w:eastAsia="宋体"/>
          <w:sz w:val="24"/>
          <w:szCs w:val="24"/>
          <w:lang w:val="en-US" w:eastAsia="zh-CN"/>
        </w:rPr>
        <w:t>公司</w:t>
      </w:r>
      <w:r>
        <w:rPr>
          <w:rFonts w:ascii="Times New Roman" w:hAnsi="Times New Roman"/>
          <w:sz w:val="24"/>
          <w:lang w:eastAsia="zh-CN"/>
        </w:rPr>
        <w:t>编制了本项目验收监测报</w:t>
      </w:r>
      <w:r>
        <w:rPr>
          <w:rFonts w:ascii="Times New Roman" w:hAnsi="Times New Roman"/>
          <w:sz w:val="24"/>
          <w:highlight w:val="none"/>
          <w:lang w:eastAsia="zh-CN"/>
        </w:rPr>
        <w:t>告</w:t>
      </w:r>
      <w:r>
        <w:rPr>
          <w:rFonts w:hint="eastAsia"/>
          <w:sz w:val="24"/>
          <w:szCs w:val="24"/>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b/>
          <w:bCs/>
          <w:sz w:val="24"/>
          <w:szCs w:val="24"/>
        </w:rPr>
      </w:pPr>
      <w:r>
        <w:rPr>
          <w:rFonts w:hint="eastAsia" w:ascii="Times New Roman" w:hAnsi="Times New Roman"/>
          <w:b/>
          <w:bCs/>
          <w:sz w:val="24"/>
          <w:szCs w:val="24"/>
        </w:rPr>
        <w:t>2</w:t>
      </w:r>
      <w:r>
        <w:rPr>
          <w:rFonts w:hint="eastAsia"/>
          <w:b/>
          <w:bCs/>
          <w:sz w:val="24"/>
          <w:szCs w:val="24"/>
        </w:rPr>
        <w:t xml:space="preserve"> 其他环境保护措施的落实情况</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b w:val="0"/>
          <w:bCs w:val="0"/>
          <w:sz w:val="24"/>
          <w:szCs w:val="24"/>
        </w:rPr>
        <w:t>2</w:t>
      </w:r>
      <w:r>
        <w:rPr>
          <w:rFonts w:hint="eastAsia"/>
          <w:b w:val="0"/>
          <w:bCs w:val="0"/>
          <w:sz w:val="24"/>
          <w:szCs w:val="24"/>
        </w:rPr>
        <w:t>.</w:t>
      </w:r>
      <w:r>
        <w:rPr>
          <w:rFonts w:hint="eastAsia" w:ascii="Times New Roman" w:hAnsi="Times New Roman"/>
          <w:b w:val="0"/>
          <w:bCs w:val="0"/>
          <w:sz w:val="24"/>
          <w:szCs w:val="24"/>
        </w:rPr>
        <w:t>1</w:t>
      </w:r>
      <w:r>
        <w:rPr>
          <w:rFonts w:hint="eastAsia"/>
          <w:b w:val="0"/>
          <w:bCs w:val="0"/>
          <w:sz w:val="24"/>
          <w:szCs w:val="24"/>
        </w:rPr>
        <w:t xml:space="preserve"> 制度措施落实情况</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w:t>
      </w:r>
      <w:r>
        <w:rPr>
          <w:rFonts w:hint="eastAsia" w:ascii="Times New Roman" w:hAnsi="Times New Roman"/>
          <w:sz w:val="24"/>
          <w:szCs w:val="24"/>
        </w:rPr>
        <w:t>1</w:t>
      </w:r>
      <w:r>
        <w:rPr>
          <w:rFonts w:hint="eastAsia"/>
          <w:sz w:val="24"/>
          <w:szCs w:val="24"/>
        </w:rPr>
        <w:t>）环境保护管理制度</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公司制订了环境保护管理制度，加强环保设施的运行维护管理，确保各类污染物稳定达标排放。</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w:t>
      </w:r>
      <w:r>
        <w:rPr>
          <w:rFonts w:hint="eastAsia" w:ascii="Times New Roman" w:hAnsi="Times New Roman"/>
          <w:sz w:val="24"/>
          <w:szCs w:val="24"/>
        </w:rPr>
        <w:t>2</w:t>
      </w:r>
      <w:r>
        <w:rPr>
          <w:rFonts w:hint="eastAsia"/>
          <w:sz w:val="24"/>
          <w:szCs w:val="24"/>
        </w:rPr>
        <w:t>）排放口规范化建设</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本项目废气、污水处理设施、固废暂存处、事故池等设立了标识牌。</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w:t>
      </w:r>
      <w:r>
        <w:rPr>
          <w:rFonts w:hint="eastAsia" w:ascii="Times New Roman" w:hAnsi="Times New Roman"/>
          <w:sz w:val="24"/>
          <w:szCs w:val="24"/>
        </w:rPr>
        <w:t>3</w:t>
      </w:r>
      <w:r>
        <w:rPr>
          <w:rFonts w:hint="eastAsia"/>
          <w:sz w:val="24"/>
          <w:szCs w:val="24"/>
        </w:rPr>
        <w:t>）环境监测计划</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ascii="Times New Roman" w:hAnsi="Times New Roman"/>
          <w:color w:val="000000"/>
          <w:sz w:val="24"/>
          <w:highlight w:val="none"/>
          <w:lang w:eastAsia="zh-CN"/>
        </w:rPr>
        <w:t>20</w:t>
      </w:r>
      <w:r>
        <w:rPr>
          <w:rFonts w:hint="eastAsia" w:ascii="Times New Roman" w:hAnsi="Times New Roman" w:eastAsia="宋体"/>
          <w:color w:val="000000"/>
          <w:sz w:val="24"/>
          <w:highlight w:val="none"/>
          <w:lang w:val="en-US" w:eastAsia="zh-CN"/>
        </w:rPr>
        <w:t>23</w:t>
      </w:r>
      <w:r>
        <w:rPr>
          <w:rFonts w:ascii="Times New Roman" w:hAnsi="Times New Roman"/>
          <w:color w:val="000000"/>
          <w:sz w:val="24"/>
          <w:highlight w:val="none"/>
          <w:lang w:eastAsia="zh-CN"/>
        </w:rPr>
        <w:t>年</w:t>
      </w:r>
      <w:r>
        <w:rPr>
          <w:rFonts w:hint="eastAsia" w:ascii="Times New Roman" w:hAnsi="Times New Roman"/>
          <w:color w:val="000000"/>
          <w:sz w:val="24"/>
          <w:highlight w:val="none"/>
          <w:lang w:val="en-US" w:eastAsia="zh-CN"/>
        </w:rPr>
        <w:t>6</w:t>
      </w:r>
      <w:r>
        <w:rPr>
          <w:rFonts w:ascii="Times New Roman" w:hAnsi="Times New Roman"/>
          <w:color w:val="000000"/>
          <w:sz w:val="24"/>
          <w:highlight w:val="none"/>
          <w:lang w:eastAsia="zh-CN"/>
        </w:rPr>
        <w:t>月</w:t>
      </w:r>
      <w:r>
        <w:rPr>
          <w:rFonts w:hint="eastAsia" w:ascii="Times New Roman" w:hAnsi="Times New Roman"/>
          <w:color w:val="000000"/>
          <w:sz w:val="24"/>
          <w:highlight w:val="none"/>
          <w:lang w:val="en-US" w:eastAsia="zh-CN"/>
        </w:rPr>
        <w:t>25</w:t>
      </w:r>
      <w:r>
        <w:rPr>
          <w:rFonts w:ascii="Times New Roman" w:hAnsi="Times New Roman"/>
          <w:color w:val="000000"/>
          <w:sz w:val="24"/>
          <w:highlight w:val="none"/>
          <w:lang w:eastAsia="zh-CN"/>
        </w:rPr>
        <w:t>日至</w:t>
      </w:r>
      <w:r>
        <w:rPr>
          <w:rFonts w:hint="eastAsia" w:ascii="Times New Roman" w:hAnsi="Times New Roman" w:eastAsia="宋体"/>
          <w:color w:val="000000"/>
          <w:sz w:val="24"/>
          <w:highlight w:val="none"/>
          <w:lang w:val="en-US" w:eastAsia="zh-CN"/>
        </w:rPr>
        <w:t>26</w:t>
      </w:r>
      <w:r>
        <w:rPr>
          <w:rFonts w:ascii="Times New Roman" w:hAnsi="Times New Roman"/>
          <w:color w:val="000000"/>
          <w:sz w:val="24"/>
          <w:highlight w:val="none"/>
          <w:lang w:eastAsia="zh-CN"/>
        </w:rPr>
        <w:t>日</w:t>
      </w:r>
      <w:r>
        <w:rPr>
          <w:rFonts w:hint="eastAsia" w:ascii="Times New Roman" w:hAnsi="Times New Roman"/>
          <w:color w:val="000000"/>
          <w:sz w:val="24"/>
          <w:highlight w:val="none"/>
          <w:lang w:eastAsia="zh-CN"/>
        </w:rPr>
        <w:t>及</w:t>
      </w:r>
      <w:r>
        <w:rPr>
          <w:rFonts w:hint="eastAsia" w:ascii="Times New Roman" w:hAnsi="Times New Roman"/>
          <w:color w:val="000000"/>
          <w:sz w:val="24"/>
          <w:highlight w:val="none"/>
          <w:lang w:val="en-US" w:eastAsia="zh-CN"/>
        </w:rPr>
        <w:t>7月16日至17日</w:t>
      </w:r>
      <w:r>
        <w:rPr>
          <w:rFonts w:hint="eastAsia" w:ascii="Times New Roman" w:hAnsi="Times New Roman"/>
          <w:color w:val="000000"/>
          <w:sz w:val="24"/>
          <w:highlight w:val="none"/>
          <w:lang w:eastAsia="zh-CN"/>
        </w:rPr>
        <w:t>委托安徽质环检测科技有限公司</w:t>
      </w:r>
      <w:r>
        <w:rPr>
          <w:rFonts w:ascii="Times New Roman" w:hAnsi="Times New Roman"/>
          <w:color w:val="000000"/>
          <w:sz w:val="24"/>
          <w:lang w:eastAsia="zh-CN"/>
        </w:rPr>
        <w:t>就本项目生产过程中产生废水、废气、噪声等污染防治设施的处理能力及污染物排放现状进行了现场监测</w:t>
      </w:r>
      <w:r>
        <w:rPr>
          <w:rFonts w:ascii="Times New Roman" w:hAnsi="Times New Roman"/>
          <w:sz w:val="24"/>
          <w:lang w:eastAsia="zh-CN"/>
        </w:rPr>
        <w:t>。</w:t>
      </w:r>
      <w:r>
        <w:rPr>
          <w:rFonts w:hint="eastAsia" w:ascii="宋体" w:hAnsi="宋体" w:eastAsia="宋体" w:cs="宋体"/>
          <w:sz w:val="24"/>
          <w:szCs w:val="24"/>
          <w:lang w:eastAsia="zh-CN"/>
        </w:rPr>
        <w:t>并对</w:t>
      </w:r>
      <w:r>
        <w:rPr>
          <w:rFonts w:hint="eastAsia" w:ascii="宋体" w:hAnsi="宋体" w:cs="宋体"/>
          <w:sz w:val="24"/>
          <w:szCs w:val="24"/>
          <w:lang w:eastAsia="zh-CN"/>
        </w:rPr>
        <w:t>土壤和</w:t>
      </w:r>
      <w:r>
        <w:rPr>
          <w:rFonts w:hint="eastAsia" w:ascii="宋体" w:hAnsi="宋体" w:eastAsia="宋体" w:cs="宋体"/>
          <w:sz w:val="24"/>
          <w:szCs w:val="24"/>
          <w:lang w:eastAsia="zh-CN"/>
        </w:rPr>
        <w:t>地下水</w:t>
      </w:r>
      <w:r>
        <w:rPr>
          <w:rFonts w:hint="eastAsia" w:ascii="Times New Roman" w:hAnsi="Times New Roman"/>
          <w:color w:val="000000"/>
          <w:sz w:val="24"/>
          <w:lang w:eastAsia="zh-CN"/>
        </w:rPr>
        <w:t>开展</w:t>
      </w:r>
      <w:r>
        <w:rPr>
          <w:rFonts w:hint="eastAsia"/>
          <w:color w:val="000000"/>
          <w:sz w:val="24"/>
          <w:lang w:eastAsia="zh-CN"/>
        </w:rPr>
        <w:t>环境</w:t>
      </w:r>
      <w:r>
        <w:rPr>
          <w:rFonts w:hint="eastAsia" w:ascii="Times New Roman" w:hAnsi="Times New Roman"/>
          <w:color w:val="000000"/>
          <w:sz w:val="24"/>
          <w:lang w:eastAsia="zh-CN"/>
        </w:rPr>
        <w:t>监测</w:t>
      </w:r>
      <w:r>
        <w:rPr>
          <w:rFonts w:hint="eastAsia" w:ascii="宋体" w:hAnsi="宋体" w:eastAsia="宋体" w:cs="宋体"/>
          <w:sz w:val="24"/>
          <w:szCs w:val="24"/>
          <w:lang w:eastAsia="zh-CN"/>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①废水</w:t>
      </w:r>
    </w:p>
    <w:p>
      <w:pPr>
        <w:pStyle w:val="1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Chars="0" w:firstLine="480" w:firstLineChars="200"/>
        <w:jc w:val="both"/>
        <w:textAlignment w:val="auto"/>
        <w:rPr>
          <w:rFonts w:ascii="Times New Roman" w:hAnsi="Times New Roman" w:cs="Times New Roman"/>
          <w:sz w:val="24"/>
          <w:szCs w:val="24"/>
          <w:highlight w:val="none"/>
        </w:rPr>
      </w:pPr>
      <w:r>
        <w:rPr>
          <w:rFonts w:hint="eastAsia" w:ascii="宋体" w:hAnsi="宋体"/>
          <w:sz w:val="24"/>
          <w:szCs w:val="24"/>
          <w:highlight w:val="none"/>
        </w:rPr>
        <w:t>验收监测期间，</w:t>
      </w:r>
      <w:r>
        <w:rPr>
          <w:rFonts w:ascii="Times New Roman" w:hAnsi="Times New Roman" w:eastAsia="宋体" w:cs="Times New Roman"/>
          <w:snapToGrid w:val="0"/>
          <w:kern w:val="0"/>
          <w:sz w:val="24"/>
          <w:szCs w:val="24"/>
          <w:lang w:val="en-US" w:eastAsia="zh-CN" w:bidi="ar-SA"/>
        </w:rPr>
        <w:t>经厂内</w:t>
      </w:r>
      <w:r>
        <w:rPr>
          <w:rFonts w:hint="eastAsia" w:ascii="Times New Roman" w:hAnsi="Times New Roman" w:cs="Times New Roman"/>
          <w:snapToGrid w:val="0"/>
          <w:kern w:val="0"/>
          <w:sz w:val="24"/>
          <w:szCs w:val="24"/>
          <w:lang w:val="en-US" w:eastAsia="zh-CN" w:bidi="ar-SA"/>
        </w:rPr>
        <w:t>污水处理站</w:t>
      </w:r>
      <w:r>
        <w:rPr>
          <w:rFonts w:ascii="Times New Roman" w:hAnsi="Times New Roman" w:eastAsia="宋体" w:cs="Times New Roman"/>
          <w:snapToGrid w:val="0"/>
          <w:kern w:val="0"/>
          <w:sz w:val="24"/>
          <w:szCs w:val="24"/>
          <w:lang w:val="en-US" w:eastAsia="zh-CN" w:bidi="ar-SA"/>
        </w:rPr>
        <w:t>预处理</w:t>
      </w:r>
      <w:r>
        <w:rPr>
          <w:rFonts w:hint="eastAsia" w:ascii="Times New Roman" w:hAnsi="Times New Roman" w:cs="Times New Roman"/>
          <w:snapToGrid w:val="0"/>
          <w:kern w:val="0"/>
          <w:sz w:val="24"/>
          <w:szCs w:val="24"/>
          <w:lang w:val="en-US" w:eastAsia="zh-CN" w:bidi="ar-SA"/>
        </w:rPr>
        <w:t>后污染物</w:t>
      </w:r>
      <w:r>
        <w:rPr>
          <w:rFonts w:ascii="Times New Roman" w:hAnsi="Times New Roman" w:eastAsia="宋体" w:cs="Times New Roman"/>
          <w:snapToGrid w:val="0"/>
          <w:kern w:val="0"/>
          <w:sz w:val="24"/>
          <w:szCs w:val="24"/>
          <w:lang w:val="en-US" w:eastAsia="zh-CN" w:bidi="ar-SA"/>
        </w:rPr>
        <w:t>达到安庆市城西污水处理厂接管标准</w:t>
      </w:r>
      <w:r>
        <w:rPr>
          <w:rFonts w:ascii="Times New Roman" w:hAnsi="Times New Roman" w:cs="Times New Roman"/>
          <w:sz w:val="24"/>
          <w:szCs w:val="24"/>
          <w:highlight w:val="none"/>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②废气</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snapToGrid w:val="0"/>
          <w:color w:val="auto"/>
          <w:spacing w:val="0"/>
          <w:kern w:val="0"/>
          <w:position w:val="0"/>
          <w:sz w:val="24"/>
          <w:szCs w:val="24"/>
          <w:highlight w:val="none"/>
          <w:lang w:eastAsia="zh-CN"/>
        </w:rPr>
      </w:pPr>
      <w:r>
        <w:rPr>
          <w:sz w:val="24"/>
          <w:szCs w:val="24"/>
          <w:highlight w:val="none"/>
        </w:rPr>
        <w:t>根据监测结果，</w:t>
      </w:r>
      <w:r>
        <w:rPr>
          <w:rFonts w:hint="eastAsia"/>
          <w:sz w:val="24"/>
          <w:szCs w:val="24"/>
          <w:highlight w:val="none"/>
        </w:rPr>
        <w:t>废气中二氧化硫、非甲烷总烃、颗粒物排放满足《石油化学工业污染物排放标准》（GB31571-2015）中排放限值要求，实验室废气和危废库废气中NMHC满足《大气污染物综合排放标准》（GB1629-1996）中表2中标准限值。硫化氢、臭气浓度满足《恶臭污染物排放标准》（GB14554-93）中表2中标准限值。厂界硫化氢、臭气浓度无组织废气排放满足《恶臭污染物排放标准》（GB14554-93）中标准限值，厂界非甲烷总烃排放满足《石油化学工业污染物排放标准》（GB31571-2015）表7中标准要求。厂区内VOCs无组织排放限值满足《挥发性有机物无组织排放控制标准》（GB37822-2019）表A.1中特别排放限值要求</w:t>
      </w:r>
      <w:r>
        <w:rPr>
          <w:rFonts w:hint="eastAsia" w:ascii="宋体" w:hAnsi="宋体" w:eastAsia="宋体" w:cs="宋体"/>
          <w:snapToGrid w:val="0"/>
          <w:color w:val="auto"/>
          <w:spacing w:val="0"/>
          <w:kern w:val="0"/>
          <w:position w:val="0"/>
          <w:sz w:val="24"/>
          <w:szCs w:val="24"/>
          <w:highlight w:val="none"/>
          <w:lang w:eastAsia="zh-CN"/>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③噪声</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ascii="宋体" w:hAnsi="宋体"/>
          <w:sz w:val="24"/>
          <w:szCs w:val="24"/>
          <w:highlight w:val="none"/>
        </w:rPr>
        <w:t>验收监测期间，厂界</w:t>
      </w:r>
      <w:r>
        <w:rPr>
          <w:rFonts w:hint="eastAsia" w:ascii="宋体" w:hAnsi="宋体"/>
          <w:sz w:val="24"/>
          <w:szCs w:val="24"/>
          <w:highlight w:val="none"/>
          <w:lang w:val="en-US" w:eastAsia="zh-CN"/>
        </w:rPr>
        <w:t>昼、夜间</w:t>
      </w:r>
      <w:r>
        <w:rPr>
          <w:rFonts w:hint="eastAsia" w:ascii="宋体" w:hAnsi="宋体"/>
          <w:sz w:val="24"/>
          <w:szCs w:val="24"/>
          <w:highlight w:val="none"/>
        </w:rPr>
        <w:t>噪声监测</w:t>
      </w:r>
      <w:r>
        <w:rPr>
          <w:rFonts w:ascii="宋体" w:hAnsi="宋体"/>
          <w:sz w:val="24"/>
          <w:szCs w:val="24"/>
          <w:highlight w:val="none"/>
        </w:rPr>
        <w:t>值均</w:t>
      </w:r>
      <w:r>
        <w:rPr>
          <w:rFonts w:hint="eastAsia" w:ascii="宋体" w:hAnsi="宋体"/>
          <w:sz w:val="24"/>
          <w:szCs w:val="24"/>
          <w:highlight w:val="none"/>
        </w:rPr>
        <w:t>满足《工业企业厂界环境噪声排放标准》</w:t>
      </w:r>
      <w:r>
        <w:rPr>
          <w:rFonts w:hint="eastAsia" w:ascii="Times New Roman" w:hAnsi="Times New Roman"/>
          <w:sz w:val="24"/>
          <w:szCs w:val="24"/>
          <w:highlight w:val="none"/>
        </w:rPr>
        <w:t>GB12348</w:t>
      </w:r>
      <w:r>
        <w:rPr>
          <w:rFonts w:hint="eastAsia" w:ascii="宋体" w:hAnsi="宋体"/>
          <w:sz w:val="24"/>
          <w:szCs w:val="24"/>
          <w:highlight w:val="none"/>
        </w:rPr>
        <w:t>-</w:t>
      </w:r>
      <w:r>
        <w:rPr>
          <w:rFonts w:hint="eastAsia" w:ascii="Times New Roman" w:hAnsi="Times New Roman"/>
          <w:sz w:val="24"/>
          <w:szCs w:val="24"/>
          <w:highlight w:val="none"/>
        </w:rPr>
        <w:t>2008</w:t>
      </w:r>
      <w:r>
        <w:rPr>
          <w:rFonts w:hint="eastAsia" w:ascii="宋体" w:hAnsi="宋体"/>
          <w:sz w:val="24"/>
          <w:szCs w:val="24"/>
          <w:highlight w:val="none"/>
        </w:rPr>
        <w:t>中</w:t>
      </w:r>
      <w:r>
        <w:rPr>
          <w:rFonts w:hint="eastAsia" w:ascii="Times New Roman" w:hAnsi="Times New Roman"/>
          <w:sz w:val="24"/>
          <w:szCs w:val="24"/>
          <w:highlight w:val="none"/>
        </w:rPr>
        <w:t>3</w:t>
      </w:r>
      <w:r>
        <w:rPr>
          <w:rFonts w:hint="eastAsia" w:ascii="宋体" w:hAnsi="宋体"/>
          <w:sz w:val="24"/>
          <w:szCs w:val="24"/>
          <w:highlight w:val="none"/>
        </w:rPr>
        <w:t>类标准限值</w:t>
      </w:r>
      <w:r>
        <w:rPr>
          <w:rFonts w:ascii="宋体" w:hAnsi="宋体"/>
          <w:sz w:val="24"/>
          <w:szCs w:val="24"/>
          <w:highlight w:val="none"/>
        </w:rPr>
        <w:t>要求</w:t>
      </w:r>
      <w:r>
        <w:rPr>
          <w:rFonts w:hint="eastAsia"/>
          <w:sz w:val="24"/>
          <w:szCs w:val="24"/>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④地下水</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sz w:val="24"/>
          <w:szCs w:val="24"/>
          <w:highlight w:val="none"/>
        </w:rPr>
      </w:pPr>
      <w:r>
        <w:rPr>
          <w:rFonts w:hint="eastAsia" w:ascii="宋体" w:hAnsi="宋体" w:eastAsia="宋体" w:cs="宋体"/>
          <w:b w:val="0"/>
          <w:bCs w:val="0"/>
          <w:color w:val="000000"/>
          <w:sz w:val="24"/>
          <w:szCs w:val="24"/>
          <w:lang w:val="en-US" w:eastAsia="zh-CN"/>
        </w:rPr>
        <w:t>监测时间为</w:t>
      </w:r>
      <w:r>
        <w:rPr>
          <w:rFonts w:hint="default" w:ascii="Times New Roman" w:hAnsi="Times New Roman" w:eastAsia="宋体" w:cs="Times New Roman"/>
          <w:b w:val="0"/>
          <w:bCs w:val="0"/>
          <w:color w:val="000000"/>
          <w:sz w:val="24"/>
          <w:szCs w:val="24"/>
          <w:lang w:val="en-US" w:eastAsia="zh-CN"/>
        </w:rPr>
        <w:t>202</w:t>
      </w:r>
      <w:r>
        <w:rPr>
          <w:rFonts w:hint="eastAsia" w:ascii="Times New Roman" w:hAnsi="Times New Roman" w:eastAsia="宋体" w:cs="Times New Roman"/>
          <w:b w:val="0"/>
          <w:bCs w:val="0"/>
          <w:color w:val="000000"/>
          <w:sz w:val="24"/>
          <w:szCs w:val="24"/>
          <w:lang w:val="en-US" w:eastAsia="zh-CN"/>
        </w:rPr>
        <w:t>3</w:t>
      </w:r>
      <w:r>
        <w:rPr>
          <w:rFonts w:hint="eastAsia" w:ascii="宋体" w:hAnsi="宋体" w:eastAsia="宋体" w:cs="宋体"/>
          <w:b w:val="0"/>
          <w:bCs w:val="0"/>
          <w:color w:val="000000"/>
          <w:sz w:val="24"/>
          <w:szCs w:val="24"/>
          <w:lang w:val="en-US" w:eastAsia="zh-CN"/>
        </w:rPr>
        <w:t>年</w:t>
      </w:r>
      <w:r>
        <w:rPr>
          <w:rFonts w:hint="eastAsia" w:ascii="Times New Roman" w:hAnsi="Times New Roman" w:eastAsia="宋体" w:cs="Times New Roman"/>
          <w:b w:val="0"/>
          <w:bCs w:val="0"/>
          <w:color w:val="000000"/>
          <w:sz w:val="24"/>
          <w:szCs w:val="24"/>
          <w:lang w:val="en-US" w:eastAsia="zh-CN"/>
        </w:rPr>
        <w:t>7</w:t>
      </w:r>
      <w:r>
        <w:rPr>
          <w:rFonts w:hint="eastAsia" w:ascii="宋体" w:hAnsi="宋体" w:eastAsia="宋体" w:cs="宋体"/>
          <w:b w:val="0"/>
          <w:bCs w:val="0"/>
          <w:color w:val="000000"/>
          <w:sz w:val="24"/>
          <w:szCs w:val="24"/>
          <w:lang w:val="en-US" w:eastAsia="zh-CN"/>
        </w:rPr>
        <w:t>月</w:t>
      </w:r>
      <w:r>
        <w:rPr>
          <w:rFonts w:hint="eastAsia" w:ascii="Times New Roman" w:hAnsi="Times New Roman" w:eastAsia="宋体" w:cs="Times New Roman"/>
          <w:b w:val="0"/>
          <w:bCs w:val="0"/>
          <w:color w:val="000000"/>
          <w:sz w:val="24"/>
          <w:szCs w:val="24"/>
          <w:lang w:val="en-US" w:eastAsia="zh-CN"/>
        </w:rPr>
        <w:t>16</w:t>
      </w:r>
      <w:r>
        <w:rPr>
          <w:rFonts w:hint="default" w:ascii="Times New Roman" w:hAnsi="Times New Roman" w:eastAsia="宋体" w:cs="Times New Roman"/>
          <w:b w:val="0"/>
          <w:bCs w:val="0"/>
          <w:color w:val="000000"/>
          <w:sz w:val="24"/>
          <w:szCs w:val="24"/>
          <w:lang w:val="en-US" w:eastAsia="zh-CN"/>
        </w:rPr>
        <w:t>日和</w:t>
      </w:r>
      <w:r>
        <w:rPr>
          <w:rFonts w:hint="eastAsia" w:ascii="Times New Roman" w:hAnsi="Times New Roman" w:eastAsia="宋体" w:cs="Times New Roman"/>
          <w:b w:val="0"/>
          <w:bCs w:val="0"/>
          <w:color w:val="000000"/>
          <w:sz w:val="24"/>
          <w:szCs w:val="24"/>
          <w:lang w:val="en-US" w:eastAsia="zh-CN"/>
        </w:rPr>
        <w:t>7</w:t>
      </w:r>
      <w:r>
        <w:rPr>
          <w:rFonts w:hint="default" w:ascii="Times New Roman" w:hAnsi="Times New Roman" w:eastAsia="宋体" w:cs="Times New Roman"/>
          <w:b w:val="0"/>
          <w:bCs w:val="0"/>
          <w:color w:val="000000"/>
          <w:sz w:val="24"/>
          <w:szCs w:val="24"/>
          <w:lang w:val="en-US" w:eastAsia="zh-CN"/>
        </w:rPr>
        <w:t>月</w:t>
      </w:r>
      <w:r>
        <w:rPr>
          <w:rFonts w:hint="eastAsia" w:ascii="Times New Roman" w:hAnsi="Times New Roman" w:eastAsia="宋体" w:cs="Times New Roman"/>
          <w:b w:val="0"/>
          <w:bCs w:val="0"/>
          <w:color w:val="000000"/>
          <w:sz w:val="24"/>
          <w:szCs w:val="24"/>
          <w:lang w:val="en-US" w:eastAsia="zh-CN"/>
        </w:rPr>
        <w:t>17</w:t>
      </w:r>
      <w:r>
        <w:rPr>
          <w:rFonts w:hint="eastAsia" w:ascii="宋体" w:hAnsi="宋体" w:eastAsia="宋体" w:cs="宋体"/>
          <w:b w:val="0"/>
          <w:bCs w:val="0"/>
          <w:color w:val="000000"/>
          <w:sz w:val="24"/>
          <w:szCs w:val="24"/>
          <w:lang w:val="en-US" w:eastAsia="zh-CN"/>
        </w:rPr>
        <w:t>日，监测结果表明，地下水现状监测因子均满足《地下水环境质量标准》</w:t>
      </w:r>
      <w:r>
        <w:rPr>
          <w:rFonts w:hint="default" w:ascii="Times New Roman" w:hAnsi="Times New Roman" w:eastAsia="宋体" w:cs="Times New Roman"/>
          <w:b w:val="0"/>
          <w:bCs w:val="0"/>
          <w:color w:val="000000"/>
          <w:sz w:val="24"/>
          <w:szCs w:val="24"/>
          <w:lang w:val="en-US" w:eastAsia="zh-CN"/>
        </w:rPr>
        <w:t>（GB/T14848-2017）</w:t>
      </w:r>
      <w:r>
        <w:rPr>
          <w:rFonts w:hint="eastAsia" w:ascii="仿宋" w:hAnsi="仿宋" w:eastAsia="仿宋" w:cs="仿宋"/>
          <w:b w:val="0"/>
          <w:bCs w:val="0"/>
          <w:color w:val="000000"/>
          <w:sz w:val="24"/>
          <w:szCs w:val="24"/>
          <w:lang w:val="en-US" w:eastAsia="zh-CN"/>
        </w:rPr>
        <w:t>Ⅲ</w:t>
      </w:r>
      <w:r>
        <w:rPr>
          <w:rFonts w:hint="eastAsia" w:ascii="宋体" w:hAnsi="宋体" w:eastAsia="宋体" w:cs="宋体"/>
          <w:b w:val="0"/>
          <w:bCs w:val="0"/>
          <w:color w:val="000000"/>
          <w:sz w:val="24"/>
          <w:szCs w:val="24"/>
          <w:lang w:val="en-US" w:eastAsia="zh-CN"/>
        </w:rPr>
        <w:t>类标准</w:t>
      </w:r>
      <w:r>
        <w:rPr>
          <w:sz w:val="24"/>
          <w:szCs w:val="24"/>
          <w:highlight w:val="none"/>
        </w:rPr>
        <w:t>。</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eastAsia="宋体"/>
          <w:sz w:val="24"/>
          <w:szCs w:val="24"/>
          <w:lang w:eastAsia="zh-CN"/>
        </w:rPr>
      </w:pPr>
      <w:r>
        <w:rPr>
          <w:rFonts w:hint="eastAsia"/>
          <w:sz w:val="24"/>
          <w:szCs w:val="24"/>
        </w:rPr>
        <w:t>④</w:t>
      </w:r>
      <w:r>
        <w:rPr>
          <w:rFonts w:hint="eastAsia"/>
          <w:sz w:val="24"/>
          <w:szCs w:val="24"/>
          <w:lang w:eastAsia="zh-CN"/>
        </w:rPr>
        <w:t>土壤</w:t>
      </w:r>
    </w:p>
    <w:p>
      <w:pPr>
        <w:keepNext w:val="0"/>
        <w:keepLines w:val="0"/>
        <w:pageBreakBefore w:val="0"/>
        <w:kinsoku/>
        <w:wordWrap/>
        <w:overflowPunct/>
        <w:topLinePunct w:val="0"/>
        <w:autoSpaceDE/>
        <w:autoSpaceDN/>
        <w:bidi w:val="0"/>
        <w:adjustRightInd/>
        <w:snapToGrid/>
        <w:spacing w:line="360" w:lineRule="auto"/>
        <w:ind w:leftChars="0" w:firstLine="480" w:firstLineChars="200"/>
        <w:jc w:val="both"/>
        <w:textAlignment w:val="auto"/>
      </w:pPr>
      <w:r>
        <w:rPr>
          <w:rFonts w:hint="default" w:ascii="Times New Roman" w:hAnsi="Times New Roman" w:eastAsia="宋体" w:cs="Times New Roman"/>
          <w:smallCaps w:val="0"/>
          <w:color w:val="000000"/>
          <w:spacing w:val="0"/>
          <w:w w:val="100"/>
          <w:position w:val="0"/>
          <w:sz w:val="24"/>
          <w:szCs w:val="24"/>
          <w:lang w:val="en-US" w:eastAsia="zh-CN"/>
        </w:rPr>
        <w:t>项目</w:t>
      </w:r>
      <w:r>
        <w:rPr>
          <w:rFonts w:hint="eastAsia" w:ascii="Times New Roman" w:hAnsi="Times New Roman" w:eastAsia="宋体" w:cs="Times New Roman"/>
          <w:smallCaps w:val="0"/>
          <w:color w:val="000000"/>
          <w:spacing w:val="0"/>
          <w:w w:val="100"/>
          <w:position w:val="0"/>
          <w:sz w:val="24"/>
          <w:szCs w:val="24"/>
          <w:lang w:val="en-US" w:eastAsia="zh-CN"/>
        </w:rPr>
        <w:t>土壤</w:t>
      </w:r>
      <w:r>
        <w:rPr>
          <w:rFonts w:hint="default" w:ascii="Times New Roman" w:hAnsi="Times New Roman" w:eastAsia="宋体" w:cs="Times New Roman"/>
          <w:smallCaps w:val="0"/>
          <w:color w:val="000000"/>
          <w:spacing w:val="0"/>
          <w:w w:val="100"/>
          <w:position w:val="0"/>
          <w:sz w:val="24"/>
          <w:szCs w:val="24"/>
          <w:highlight w:val="none"/>
          <w:lang w:val="en-US" w:eastAsia="zh-CN"/>
        </w:rPr>
        <w:t>检测时间为20</w:t>
      </w:r>
      <w:r>
        <w:rPr>
          <w:rFonts w:hint="eastAsia" w:ascii="Times New Roman" w:hAnsi="Times New Roman" w:eastAsia="宋体" w:cs="Times New Roman"/>
          <w:smallCaps w:val="0"/>
          <w:color w:val="000000"/>
          <w:spacing w:val="0"/>
          <w:w w:val="100"/>
          <w:position w:val="0"/>
          <w:sz w:val="24"/>
          <w:szCs w:val="24"/>
          <w:highlight w:val="none"/>
          <w:lang w:val="en-US" w:eastAsia="zh-CN"/>
        </w:rPr>
        <w:t>23</w:t>
      </w:r>
      <w:r>
        <w:rPr>
          <w:rFonts w:hint="default" w:ascii="Times New Roman" w:hAnsi="Times New Roman" w:eastAsia="宋体" w:cs="Times New Roman"/>
          <w:smallCaps w:val="0"/>
          <w:color w:val="000000"/>
          <w:spacing w:val="0"/>
          <w:w w:val="100"/>
          <w:position w:val="0"/>
          <w:sz w:val="24"/>
          <w:szCs w:val="24"/>
          <w:highlight w:val="none"/>
          <w:lang w:val="en-US" w:eastAsia="zh-CN"/>
        </w:rPr>
        <w:t>年</w:t>
      </w:r>
      <w:r>
        <w:rPr>
          <w:rFonts w:hint="eastAsia" w:ascii="Times New Roman" w:hAnsi="Times New Roman" w:eastAsia="宋体" w:cs="Times New Roman"/>
          <w:smallCaps w:val="0"/>
          <w:color w:val="000000"/>
          <w:spacing w:val="0"/>
          <w:w w:val="100"/>
          <w:position w:val="0"/>
          <w:sz w:val="24"/>
          <w:szCs w:val="24"/>
          <w:highlight w:val="none"/>
          <w:lang w:val="en-US" w:eastAsia="zh-CN"/>
        </w:rPr>
        <w:t>6</w:t>
      </w:r>
      <w:r>
        <w:rPr>
          <w:rFonts w:hint="default" w:ascii="Times New Roman" w:hAnsi="Times New Roman" w:eastAsia="宋体" w:cs="Times New Roman"/>
          <w:smallCaps w:val="0"/>
          <w:color w:val="000000"/>
          <w:spacing w:val="0"/>
          <w:w w:val="100"/>
          <w:position w:val="0"/>
          <w:sz w:val="24"/>
          <w:szCs w:val="24"/>
          <w:highlight w:val="none"/>
          <w:lang w:val="en-US" w:eastAsia="zh-CN"/>
        </w:rPr>
        <w:t>月</w:t>
      </w:r>
      <w:r>
        <w:rPr>
          <w:rFonts w:hint="eastAsia" w:ascii="Times New Roman" w:hAnsi="Times New Roman" w:eastAsia="宋体" w:cs="Times New Roman"/>
          <w:smallCaps w:val="0"/>
          <w:color w:val="000000"/>
          <w:spacing w:val="0"/>
          <w:w w:val="100"/>
          <w:position w:val="0"/>
          <w:sz w:val="24"/>
          <w:szCs w:val="24"/>
          <w:highlight w:val="none"/>
          <w:lang w:val="en-US" w:eastAsia="zh-CN"/>
        </w:rPr>
        <w:t>26</w:t>
      </w:r>
      <w:r>
        <w:rPr>
          <w:rFonts w:hint="default" w:ascii="Times New Roman" w:hAnsi="Times New Roman" w:eastAsia="宋体" w:cs="Times New Roman"/>
          <w:smallCaps w:val="0"/>
          <w:color w:val="000000"/>
          <w:spacing w:val="0"/>
          <w:w w:val="100"/>
          <w:position w:val="0"/>
          <w:sz w:val="24"/>
          <w:szCs w:val="24"/>
          <w:highlight w:val="none"/>
          <w:lang w:val="en-US" w:eastAsia="zh-CN"/>
        </w:rPr>
        <w:t>日。</w:t>
      </w:r>
      <w:r>
        <w:rPr>
          <w:rFonts w:hint="eastAsia"/>
          <w:sz w:val="24"/>
          <w:szCs w:val="24"/>
          <w:lang w:val="en-US" w:eastAsia="zh-CN"/>
        </w:rPr>
        <w:t>经检测，厂区内土壤满足《土壤环境质量建设用地土壤环境风险管控标准》</w:t>
      </w:r>
      <w:r>
        <w:rPr>
          <w:rFonts w:hint="eastAsia" w:ascii="宋体" w:hAnsi="宋体" w:eastAsia="宋体" w:cs="宋体"/>
          <w:sz w:val="24"/>
          <w:szCs w:val="24"/>
          <w:lang w:val="en-US" w:eastAsia="zh-CN"/>
        </w:rPr>
        <w:t>(</w:t>
      </w:r>
      <w:r>
        <w:rPr>
          <w:rFonts w:hint="eastAsia"/>
          <w:sz w:val="24"/>
          <w:szCs w:val="24"/>
          <w:lang w:val="en-US" w:eastAsia="zh-CN"/>
        </w:rPr>
        <w:t>GB 36600-2018</w:t>
      </w:r>
      <w:r>
        <w:rPr>
          <w:rFonts w:hint="eastAsia" w:ascii="宋体" w:hAnsi="宋体" w:eastAsia="宋体" w:cs="宋体"/>
          <w:sz w:val="24"/>
          <w:szCs w:val="24"/>
          <w:lang w:val="en-US" w:eastAsia="zh-CN"/>
        </w:rPr>
        <w:t>)中</w:t>
      </w:r>
      <w:r>
        <w:rPr>
          <w:rFonts w:hint="eastAsia"/>
          <w:sz w:val="24"/>
          <w:szCs w:val="24"/>
          <w:lang w:val="en-US" w:eastAsia="zh-CN"/>
        </w:rPr>
        <w:t>第二类用地筛选值要求</w:t>
      </w:r>
      <w:r>
        <w:rPr>
          <w:sz w:val="24"/>
          <w:szCs w:val="24"/>
          <w:highlight w:val="none"/>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b w:val="0"/>
          <w:bCs w:val="0"/>
          <w:sz w:val="24"/>
          <w:szCs w:val="24"/>
        </w:rPr>
        <w:t>2</w:t>
      </w:r>
      <w:r>
        <w:rPr>
          <w:rFonts w:hint="eastAsia"/>
          <w:b w:val="0"/>
          <w:bCs w:val="0"/>
          <w:sz w:val="24"/>
          <w:szCs w:val="24"/>
        </w:rPr>
        <w:t>.</w:t>
      </w:r>
      <w:r>
        <w:rPr>
          <w:rFonts w:hint="eastAsia" w:ascii="Times New Roman" w:hAnsi="Times New Roman"/>
          <w:b w:val="0"/>
          <w:bCs w:val="0"/>
          <w:sz w:val="24"/>
          <w:szCs w:val="24"/>
        </w:rPr>
        <w:t>2</w:t>
      </w:r>
      <w:r>
        <w:rPr>
          <w:rFonts w:hint="eastAsia"/>
          <w:b w:val="0"/>
          <w:bCs w:val="0"/>
          <w:sz w:val="24"/>
          <w:szCs w:val="24"/>
        </w:rPr>
        <w:t xml:space="preserve"> 配套措施落实情况</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1</w:t>
      </w:r>
      <w:r>
        <w:rPr>
          <w:rFonts w:hint="eastAsia"/>
          <w:sz w:val="24"/>
          <w:szCs w:val="24"/>
        </w:rPr>
        <w:t xml:space="preserve"> 废水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08" w:firstLineChars="200"/>
        <w:jc w:val="left"/>
        <w:textAlignment w:val="auto"/>
        <w:rPr>
          <w:rFonts w:hint="eastAsia" w:ascii="Times New Roman" w:hAnsi="Times New Roman" w:eastAsia="宋体" w:cs="Times New Roman"/>
          <w:snapToGrid w:val="0"/>
          <w:kern w:val="0"/>
          <w:sz w:val="24"/>
          <w:szCs w:val="24"/>
          <w:highlight w:val="none"/>
          <w:lang w:val="en-US" w:eastAsia="zh-CN"/>
        </w:rPr>
      </w:pPr>
      <w:r>
        <w:rPr>
          <w:rFonts w:hint="eastAsia" w:ascii="宋体" w:hAnsi="宋体" w:eastAsia="宋体" w:cs="宋体"/>
          <w:color w:val="auto"/>
          <w:spacing w:val="7"/>
          <w:sz w:val="24"/>
          <w:szCs w:val="24"/>
        </w:rPr>
        <w:t>项目废水主要工艺废水、实验室废水、碱液喷淋废水、循环冷却废水、地面冲洗废水、初期雨水、生活污水和蒸汽冷凝水排水等。生产废水进入废水调节罐预处理，生活废水经过化粪池预处理，</w:t>
      </w:r>
      <w:r>
        <w:rPr>
          <w:rFonts w:hint="eastAsia"/>
          <w:sz w:val="24"/>
          <w:szCs w:val="24"/>
          <w:lang w:eastAsia="zh-CN"/>
        </w:rPr>
        <w:t>所有</w:t>
      </w:r>
      <w:r>
        <w:rPr>
          <w:rFonts w:hint="eastAsia" w:ascii="宋体" w:hAnsi="宋体" w:eastAsia="宋体" w:cs="宋体"/>
          <w:color w:val="auto"/>
          <w:spacing w:val="7"/>
          <w:sz w:val="24"/>
          <w:szCs w:val="24"/>
        </w:rPr>
        <w:t>废水采取“</w:t>
      </w:r>
      <w:r>
        <w:rPr>
          <w:rFonts w:hint="default" w:ascii="Times New Roman" w:hAnsi="Times New Roman" w:eastAsia="宋体" w:cs="Times New Roman"/>
          <w:color w:val="auto"/>
          <w:spacing w:val="7"/>
          <w:sz w:val="24"/>
          <w:szCs w:val="24"/>
        </w:rPr>
        <w:t>ABR厌氧池+LBQ生</w:t>
      </w:r>
      <w:r>
        <w:rPr>
          <w:rFonts w:hint="eastAsia" w:ascii="宋体" w:hAnsi="宋体" w:eastAsia="宋体" w:cs="宋体"/>
          <w:color w:val="auto"/>
          <w:spacing w:val="7"/>
          <w:sz w:val="24"/>
          <w:szCs w:val="24"/>
        </w:rPr>
        <w:t>物接触氧化池+混凝沉淀池”处理</w:t>
      </w:r>
      <w:r>
        <w:rPr>
          <w:rFonts w:hint="eastAsia" w:ascii="宋体" w:hAnsi="宋体" w:eastAsia="宋体" w:cs="宋体"/>
          <w:color w:val="auto"/>
          <w:spacing w:val="7"/>
          <w:sz w:val="24"/>
          <w:szCs w:val="24"/>
          <w:lang w:eastAsia="zh-CN"/>
        </w:rPr>
        <w:t>，</w:t>
      </w:r>
      <w:r>
        <w:rPr>
          <w:rFonts w:hint="eastAsia" w:ascii="宋体" w:hAnsi="宋体" w:eastAsia="宋体" w:cs="宋体"/>
          <w:color w:val="auto"/>
          <w:spacing w:val="7"/>
          <w:sz w:val="24"/>
          <w:szCs w:val="24"/>
        </w:rPr>
        <w:t>污水系统处理能力</w:t>
      </w:r>
      <w:r>
        <w:rPr>
          <w:rFonts w:hint="default" w:ascii="Times New Roman" w:hAnsi="Times New Roman" w:eastAsia="宋体" w:cs="Times New Roman"/>
          <w:color w:val="auto"/>
          <w:spacing w:val="7"/>
          <w:sz w:val="24"/>
          <w:szCs w:val="24"/>
        </w:rPr>
        <w:t>200吨/</w:t>
      </w:r>
      <w:r>
        <w:rPr>
          <w:rFonts w:hint="eastAsia" w:ascii="宋体" w:hAnsi="宋体" w:eastAsia="宋体" w:cs="宋体"/>
          <w:color w:val="auto"/>
          <w:spacing w:val="7"/>
          <w:sz w:val="24"/>
          <w:szCs w:val="24"/>
        </w:rPr>
        <w:t>天。厂区生产生活废水经厂内污水处理站处理达标后，最终经市政管网排入城西污水处理厂集中处理</w:t>
      </w:r>
      <w:r>
        <w:rPr>
          <w:rFonts w:hint="eastAsia" w:ascii="Times New Roman" w:hAnsi="Times New Roman" w:eastAsia="宋体" w:cs="Times New Roman"/>
          <w:snapToGrid w:val="0"/>
          <w:kern w:val="0"/>
          <w:sz w:val="24"/>
          <w:szCs w:val="24"/>
          <w:highlight w:val="none"/>
          <w:lang w:eastAsia="zh-CN"/>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 xml:space="preserve"> 废气</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napToGrid w:val="0"/>
          <w:color w:val="auto"/>
          <w:spacing w:val="0"/>
          <w:kern w:val="0"/>
          <w:sz w:val="24"/>
          <w:szCs w:val="24"/>
        </w:rPr>
      </w:pPr>
      <w:r>
        <w:rPr>
          <w:rFonts w:hint="eastAsia" w:ascii="宋体" w:hAnsi="宋体" w:eastAsia="宋体" w:cs="宋体"/>
          <w:snapToGrid w:val="0"/>
          <w:color w:val="auto"/>
          <w:spacing w:val="0"/>
          <w:kern w:val="0"/>
          <w:sz w:val="24"/>
          <w:szCs w:val="24"/>
        </w:rPr>
        <w:t>本项目有组织废气主要为生产线工艺废气、污水处理废气、储罐呼吸废气、车间动静密封点泄漏废气、实验室废气、危废库废气等。</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（1）工艺废气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项目工艺废气主要为四氢噻吩生产线生产过程中产生的废气，主要含有硫化氢、四氢噻吩、四氢呋喃等污染物，污染工序主要为碱吸收、置换、脱硫、精馏、结晶、气化、包装、催化剂再生等工序，项目工艺废气直接进入“RTO+二级碱喷淋”处理设施处理，处理后的废气通过30m高DA001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（2）罐区废气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本项目丁二醇储罐、四氢噻吩储罐储存过程中会有呼吸废气产生，呼吸废气采用“RTO+二级碱喷淋”处理，处理后的尾气通过30m高DA001排气筒排放。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（3）污水处理废气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项目废水排入厂内污水处理站处理。项目污水处理站处理过程中会产生废气，主要为四氢呋喃、四氢噻吩和硫化氢。其中四氢呋喃、四氢噻吩废气主要在污水罐暂存时和污水处理时产生，硫化氢主要在污水处理时产生。</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项目污水处理废气经密闭收集后通过“RTO+二级碱喷淋”处理，处理后的废气通过30m高DA001排气筒排放。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（4）</w:t>
      </w:r>
      <w:r>
        <w:rPr>
          <w:rFonts w:hint="eastAsia"/>
          <w:sz w:val="24"/>
          <w:szCs w:val="24"/>
        </w:rPr>
        <w:t>动静密封点泄露废气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项目采用自动化、密闭化、连续化生产，生产过程中设备动静密封点会少量泄漏废气。设备与管线组件的逸散排放连续而缓慢，泄漏频率高低与流体特性、组件材质、操作条件、维护状况等因素有关。</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企业在将硫化氢压缩机所在区域封闭处理，内部整体换风；其余设备采样口、进出料口等容易泄露的地方设置集气罩进行收集；另外固定床反应器更换催化剂时进出口采用移动式密闭间密闭处理。以上收集的废气进入RTO处理，动静密封点泄露废气经“RTO+二级碱喷淋”处理后通过30m高DA001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（5）RTO燃烧废气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本项目有机废气送入RTO焚烧炉（三床）进行焚烧处理，RTO焚烧炉是一种良好的有机废气处理装置，其对有机废气的处理效率可达到98%以上。RTO燃烧过程会产生废气，主要为燃料燃烧废气和废气燃烧废气。处理后的尾气经二级碱喷淋装置处理后通过30m高DA001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（6）实验室废气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项目设置一座实验室，主要用于产品检测，实验室废气经过通风橱收集后采用活性炭吸附，吸附后的废气通过15m高DA002排气筒排放。</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（7）危废库废气</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napToGrid w:val="0"/>
          <w:kern w:val="0"/>
          <w:sz w:val="24"/>
          <w:szCs w:val="24"/>
          <w:highlight w:val="none"/>
          <w:lang w:val="en-US" w:eastAsia="zh-CN"/>
        </w:rPr>
      </w:pPr>
      <w:r>
        <w:rPr>
          <w:rFonts w:hint="eastAsia"/>
          <w:snapToGrid w:val="0"/>
          <w:kern w:val="0"/>
          <w:sz w:val="24"/>
          <w:szCs w:val="24"/>
          <w:highlight w:val="none"/>
          <w:lang w:val="en-US" w:eastAsia="zh-CN"/>
        </w:rPr>
        <w:t>产品生产过程中产生的废催化剂、废导热油、废包装物、污泥和废活性炭等暂存于危废仓库内。项目危废库密闭，废气采取轴流风机整体换风收集，收集后的废气经“碱喷淋+活性炭”处理达标后通过15m高DA003排气筒排放。</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sz w:val="24"/>
          <w:szCs w:val="24"/>
        </w:rPr>
      </w:pPr>
      <w:r>
        <w:rPr>
          <w:rFonts w:hint="eastAsia"/>
          <w:snapToGrid w:val="0"/>
          <w:kern w:val="0"/>
          <w:sz w:val="24"/>
          <w:szCs w:val="24"/>
          <w:highlight w:val="none"/>
          <w:lang w:val="en-US" w:eastAsia="zh-CN"/>
        </w:rPr>
        <w:t>本项目在生产及输送挥发性物料及VOCs相关原料和产品时，采用密闭的输送管道运送至生产设备、储罐、装载设施或其他工艺，因此无组织废气主要为设备动静密封点泄漏废气。企业在将硫化氢压缩机所在区域封闭处理，内部整体换风；其余设备采样口、进出料口等容易泄露的地方设置集气罩进行收集；另外固定床反应器更换催化剂时进出口采用移动式密闭间密闭处理。收集效率为95%，未收集的废气通过车间无组织排放，企业加强管理，增加日常检测维修及设备改良次数，将老化垫片或松动的螺栓加以换除或压紧，并定期进行适当的检测维修，有效降低VOCs排放总量</w:t>
      </w:r>
      <w:r>
        <w:rPr>
          <w:rFonts w:hint="eastAsia" w:ascii="Times New Roman" w:hAnsi="Times New Roman" w:eastAsia="宋体" w:cs="Times New Roman"/>
          <w:snapToGrid w:val="0"/>
          <w:kern w:val="0"/>
          <w:sz w:val="24"/>
          <w:szCs w:val="24"/>
          <w:highlight w:val="none"/>
          <w:lang w:val="en-US" w:eastAsia="zh-CN"/>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3</w:t>
      </w:r>
      <w:r>
        <w:rPr>
          <w:rFonts w:hint="eastAsia"/>
          <w:sz w:val="24"/>
          <w:szCs w:val="24"/>
        </w:rPr>
        <w:t xml:space="preserve"> 噪声</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kern w:val="0"/>
          <w:sz w:val="24"/>
          <w:szCs w:val="24"/>
          <w:highlight w:val="none"/>
          <w:lang w:val="en-US" w:eastAsia="zh-CN" w:bidi="ar-SA"/>
        </w:rPr>
      </w:pPr>
      <w:r>
        <w:rPr>
          <w:rFonts w:hint="eastAsia" w:ascii="Times New Roman" w:hAnsi="Times New Roman" w:eastAsia="宋体" w:cs="Times New Roman"/>
          <w:snapToGrid w:val="0"/>
          <w:spacing w:val="0"/>
          <w:kern w:val="0"/>
          <w:sz w:val="24"/>
          <w:szCs w:val="24"/>
          <w:highlight w:val="none"/>
          <w:lang w:val="en-US" w:eastAsia="zh-CN" w:bidi="ar-SA"/>
        </w:rPr>
        <w:t>本次验收项目主要噪声源为压缩机、真空泵、包装机、引风机等。对各类噪声源采取了减振、隔声的噪声防治措施</w:t>
      </w:r>
      <w:r>
        <w:rPr>
          <w:rFonts w:hint="eastAsia" w:ascii="Times New Roman" w:hAnsi="Times New Roman" w:eastAsia="宋体" w:cs="Times New Roman"/>
          <w:snapToGrid w:val="0"/>
          <w:kern w:val="0"/>
          <w:sz w:val="24"/>
          <w:szCs w:val="24"/>
          <w:highlight w:val="none"/>
          <w:lang w:val="en-US" w:eastAsia="zh-CN" w:bidi="ar-SA"/>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4</w:t>
      </w:r>
      <w:r>
        <w:rPr>
          <w:rFonts w:hint="eastAsia"/>
          <w:sz w:val="24"/>
          <w:szCs w:val="24"/>
        </w:rPr>
        <w:t xml:space="preserve"> 固体废物</w:t>
      </w:r>
    </w:p>
    <w:p>
      <w:pPr>
        <w:keepNext w:val="0"/>
        <w:keepLines w:val="0"/>
        <w:pageBreakBefore w:val="0"/>
        <w:widowControl w:val="0"/>
        <w:kinsoku/>
        <w:wordWrap/>
        <w:overflowPunct/>
        <w:topLinePunct w:val="0"/>
        <w:bidi w:val="0"/>
        <w:adjustRightInd/>
        <w:snapToGrid/>
        <w:spacing w:line="360" w:lineRule="auto"/>
        <w:ind w:firstLine="480" w:firstLineChars="200"/>
        <w:rPr>
          <w:rFonts w:hint="default"/>
          <w:sz w:val="24"/>
          <w:szCs w:val="24"/>
          <w:lang w:val="en-US" w:eastAsia="zh-CN"/>
        </w:rPr>
      </w:pPr>
      <w:r>
        <w:rPr>
          <w:rFonts w:hint="default"/>
          <w:sz w:val="24"/>
          <w:szCs w:val="24"/>
          <w:lang w:val="en-US" w:eastAsia="zh-CN"/>
        </w:rPr>
        <w:t>项目固体废物主要为生活垃圾、污水处理站污泥、废导热油、废催化剂、废包装物和废活性炭等。</w:t>
      </w:r>
      <w:r>
        <w:rPr>
          <w:sz w:val="24"/>
        </w:rPr>
        <w:t>生活垃圾属</w:t>
      </w:r>
      <w:r>
        <w:rPr>
          <w:rFonts w:hint="eastAsia"/>
          <w:sz w:val="24"/>
          <w:lang w:eastAsia="zh-CN"/>
        </w:rPr>
        <w:t>于</w:t>
      </w:r>
      <w:r>
        <w:rPr>
          <w:sz w:val="24"/>
        </w:rPr>
        <w:t>一般固废，集中收集后由当地环卫部门统一清运</w:t>
      </w:r>
      <w:r>
        <w:rPr>
          <w:rFonts w:hint="eastAsia"/>
          <w:sz w:val="24"/>
          <w:szCs w:val="24"/>
          <w:lang w:val="en-US" w:eastAsia="zh-CN"/>
        </w:rPr>
        <w:t>。</w:t>
      </w:r>
      <w:r>
        <w:rPr>
          <w:rFonts w:hint="eastAsia"/>
          <w:b w:val="0"/>
          <w:bCs/>
          <w:sz w:val="24"/>
          <w:szCs w:val="24"/>
          <w:highlight w:val="none"/>
          <w:lang w:val="en-US" w:eastAsia="zh-CN"/>
        </w:rPr>
        <w:t>产生的污水处理站污泥、废导热油、废催化剂、废包装物和废活性炭等危险废物均与安徽上峰杰夏环保科技有限责任公司签订危废协议，定期交由安徽上峰杰夏环保科技有限责任公司处置</w:t>
      </w:r>
      <w:r>
        <w:rPr>
          <w:rFonts w:hint="eastAsia"/>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5</w:t>
      </w:r>
      <w:r>
        <w:rPr>
          <w:rFonts w:hint="eastAsia"/>
          <w:sz w:val="24"/>
          <w:szCs w:val="24"/>
        </w:rPr>
        <w:t xml:space="preserve"> 环境风险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ascii="宋体" w:hAnsi="宋体" w:eastAsia="宋体"/>
          <w:color w:val="000000"/>
          <w:spacing w:val="-6"/>
          <w:sz w:val="24"/>
          <w:szCs w:val="24"/>
          <w:highlight w:val="none"/>
          <w:lang w:val="en-US" w:eastAsia="zh-CN"/>
        </w:rPr>
      </w:pPr>
      <w:r>
        <w:rPr>
          <w:rFonts w:hint="eastAsia" w:ascii="Times New Roman" w:hAnsi="Times New Roman" w:eastAsia="宋体" w:cs="Times New Roman"/>
          <w:sz w:val="24"/>
          <w:szCs w:val="24"/>
          <w:highlight w:val="none"/>
          <w:lang w:eastAsia="zh-CN"/>
        </w:rPr>
        <w:t>项目所涉及风险防范措施</w:t>
      </w:r>
      <w:r>
        <w:rPr>
          <w:rFonts w:hint="eastAsia" w:ascii="Times New Roman" w:hAnsi="Times New Roman" w:eastAsia="宋体" w:cs="Times New Roman"/>
          <w:sz w:val="24"/>
          <w:szCs w:val="24"/>
          <w:highlight w:val="none"/>
        </w:rPr>
        <w:t>均</w:t>
      </w:r>
      <w:r>
        <w:rPr>
          <w:rFonts w:hint="eastAsia" w:cs="Times New Roman"/>
          <w:sz w:val="24"/>
          <w:szCs w:val="24"/>
          <w:highlight w:val="none"/>
          <w:lang w:eastAsia="zh-CN"/>
        </w:rPr>
        <w:t>已按照要求建设完成，</w:t>
      </w:r>
      <w:r>
        <w:rPr>
          <w:sz w:val="24"/>
          <w:szCs w:val="24"/>
          <w:highlight w:val="none"/>
        </w:rPr>
        <w:t>满足环评及批复要求</w:t>
      </w:r>
      <w:r>
        <w:rPr>
          <w:rFonts w:hint="eastAsia" w:ascii="Times New Roman" w:hAnsi="Times New Roman" w:eastAsia="宋体" w:cs="Times New Roman"/>
          <w:sz w:val="24"/>
          <w:szCs w:val="24"/>
          <w:highlight w:val="none"/>
        </w:rPr>
        <w:t>。</w:t>
      </w:r>
    </w:p>
    <w:p>
      <w:pPr>
        <w:pStyle w:val="1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rPr>
      </w:pP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2</w:t>
      </w:r>
      <w:r>
        <w:rPr>
          <w:rFonts w:hint="eastAsia"/>
          <w:sz w:val="24"/>
          <w:szCs w:val="24"/>
        </w:rPr>
        <w:t>.</w:t>
      </w:r>
      <w:r>
        <w:rPr>
          <w:rFonts w:hint="eastAsia" w:ascii="Times New Roman" w:hAnsi="Times New Roman"/>
          <w:sz w:val="24"/>
          <w:szCs w:val="24"/>
        </w:rPr>
        <w:t>6</w:t>
      </w:r>
      <w:r>
        <w:rPr>
          <w:rFonts w:hint="eastAsia"/>
          <w:sz w:val="24"/>
          <w:szCs w:val="24"/>
        </w:rPr>
        <w:t xml:space="preserve"> 其他</w:t>
      </w:r>
    </w:p>
    <w:p>
      <w:pPr>
        <w:pStyle w:val="13"/>
        <w:keepNext w:val="0"/>
        <w:keepLines w:val="0"/>
        <w:pageBreakBefore w:val="0"/>
        <w:widowControl/>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项目设置</w:t>
      </w:r>
      <w:r>
        <w:rPr>
          <w:rFonts w:hint="eastAsia" w:cs="Times New Roman"/>
          <w:snapToGrid w:val="0"/>
          <w:spacing w:val="0"/>
          <w:kern w:val="0"/>
          <w:sz w:val="24"/>
          <w:szCs w:val="24"/>
          <w:lang w:val="en-US" w:eastAsia="zh-CN"/>
        </w:rPr>
        <w:t>5</w:t>
      </w:r>
      <w:r>
        <w:rPr>
          <w:rFonts w:hint="default" w:ascii="Times New Roman" w:hAnsi="Times New Roman" w:eastAsia="宋体" w:cs="Times New Roman"/>
          <w:snapToGrid w:val="0"/>
          <w:spacing w:val="0"/>
          <w:kern w:val="0"/>
          <w:sz w:val="24"/>
          <w:szCs w:val="24"/>
        </w:rPr>
        <w:t>00米环境防护距离</w:t>
      </w:r>
      <w:r>
        <w:rPr>
          <w:rFonts w:hint="eastAsia"/>
          <w:sz w:val="24"/>
          <w:szCs w:val="24"/>
        </w:rPr>
        <w:t>范围内无环境敏感目标；</w:t>
      </w:r>
      <w:r>
        <w:rPr>
          <w:sz w:val="24"/>
          <w:szCs w:val="24"/>
          <w:highlight w:val="none"/>
        </w:rPr>
        <w:t>公司</w:t>
      </w:r>
      <w:r>
        <w:rPr>
          <w:rFonts w:hint="eastAsia"/>
          <w:sz w:val="24"/>
          <w:szCs w:val="24"/>
          <w:highlight w:val="none"/>
          <w:lang w:eastAsia="zh-CN"/>
        </w:rPr>
        <w:t>在废气、废水、雨水排口设置</w:t>
      </w:r>
      <w:r>
        <w:rPr>
          <w:sz w:val="24"/>
          <w:szCs w:val="24"/>
          <w:highlight w:val="none"/>
        </w:rPr>
        <w:t>了在线监测系统，</w:t>
      </w:r>
      <w:r>
        <w:rPr>
          <w:rFonts w:hint="eastAsia"/>
          <w:sz w:val="24"/>
          <w:szCs w:val="24"/>
          <w:highlight w:val="none"/>
        </w:rPr>
        <w:t>废气在线监测系统实时监控颗粒物、SO</w:t>
      </w:r>
      <w:r>
        <w:rPr>
          <w:rFonts w:hint="eastAsia"/>
          <w:sz w:val="24"/>
          <w:szCs w:val="24"/>
          <w:highlight w:val="none"/>
          <w:vertAlign w:val="subscript"/>
        </w:rPr>
        <w:t>2</w:t>
      </w:r>
      <w:r>
        <w:rPr>
          <w:rFonts w:hint="eastAsia"/>
          <w:sz w:val="24"/>
          <w:szCs w:val="24"/>
          <w:highlight w:val="none"/>
        </w:rPr>
        <w:t>、</w:t>
      </w:r>
      <w:r>
        <w:rPr>
          <w:rFonts w:hint="eastAsia"/>
          <w:sz w:val="24"/>
          <w:szCs w:val="24"/>
          <w:highlight w:val="none"/>
          <w:lang w:val="en-US" w:eastAsia="zh-CN"/>
        </w:rPr>
        <w:t>非甲烷总烃</w:t>
      </w:r>
      <w:r>
        <w:rPr>
          <w:rFonts w:hint="eastAsia"/>
          <w:sz w:val="24"/>
          <w:szCs w:val="24"/>
          <w:highlight w:val="none"/>
        </w:rPr>
        <w:t>，废水、雨水在线监测装置实时监控COD、氨氮、pH</w:t>
      </w:r>
      <w:r>
        <w:rPr>
          <w:sz w:val="24"/>
          <w:szCs w:val="24"/>
          <w:highlight w:val="none"/>
        </w:rPr>
        <w:t>。</w:t>
      </w:r>
      <w:r>
        <w:rPr>
          <w:rFonts w:hint="eastAsia"/>
          <w:sz w:val="24"/>
          <w:szCs w:val="24"/>
          <w:highlight w:val="none"/>
          <w:lang w:eastAsia="zh-CN"/>
        </w:rPr>
        <w:t>监控数据联网，同时在线监测数据已按要求上传至自行监测平台。</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lang w:eastAsia="zh-CN"/>
        </w:rPr>
        <w:t>、整改工作情况</w:t>
      </w:r>
      <w:bookmarkStart w:id="3" w:name="_GoBack"/>
      <w:bookmarkEnd w:id="3"/>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lang w:eastAsia="zh-CN"/>
        </w:rPr>
      </w:pPr>
      <w:r>
        <w:rPr>
          <w:rFonts w:hint="eastAsia"/>
          <w:lang w:eastAsia="zh-CN"/>
        </w:rPr>
        <w:t>本次验收未提出整改项。</w:t>
      </w:r>
    </w:p>
    <w:p>
      <w:pPr>
        <w:bidi w:val="0"/>
        <w:rPr>
          <w:rFonts w:ascii="Times New Roman" w:hAnsi="Times New Roman" w:eastAsia="宋体" w:cs="Times New Roman"/>
          <w:kern w:val="2"/>
          <w:sz w:val="24"/>
          <w:szCs w:val="24"/>
          <w:lang w:val="en-US" w:eastAsia="zh-CN" w:bidi="ar-SA"/>
        </w:rPr>
      </w:pPr>
    </w:p>
    <w:p>
      <w:pPr>
        <w:keepNext w:val="0"/>
        <w:keepLines w:val="0"/>
        <w:pageBreakBefore w:val="0"/>
        <w:widowControl w:val="0"/>
        <w:kinsoku/>
        <w:wordWrap w:val="0"/>
        <w:overflowPunct/>
        <w:topLinePunct w:val="0"/>
        <w:autoSpaceDE/>
        <w:autoSpaceDN/>
        <w:bidi w:val="0"/>
        <w:adjustRightInd/>
        <w:snapToGrid/>
        <w:spacing w:line="360" w:lineRule="auto"/>
        <w:ind w:leftChars="0"/>
        <w:jc w:val="right"/>
        <w:textAlignment w:val="auto"/>
        <w:rPr>
          <w:rFonts w:hint="eastAsia" w:ascii="宋体" w:hAnsi="宋体" w:eastAsia="宋体" w:cs="Times New Roman"/>
          <w:b/>
          <w:bCs/>
          <w:sz w:val="24"/>
          <w:szCs w:val="24"/>
          <w:highlight w:val="none"/>
          <w:lang w:eastAsia="zh-CN"/>
        </w:rPr>
      </w:pPr>
      <w:r>
        <w:rPr>
          <w:rFonts w:hint="eastAsia"/>
          <w:lang w:val="en-US" w:eastAsia="zh-CN"/>
        </w:rPr>
        <w:tab/>
      </w:r>
      <w:r>
        <w:rPr>
          <w:rFonts w:hint="eastAsia" w:ascii="宋体" w:hAnsi="宋体" w:eastAsia="宋体" w:cs="Times New Roman"/>
          <w:b/>
          <w:bCs/>
          <w:sz w:val="24"/>
          <w:szCs w:val="24"/>
          <w:highlight w:val="none"/>
          <w:lang w:val="en-US" w:eastAsia="zh-CN"/>
        </w:rPr>
        <w:t xml:space="preserve"> </w:t>
      </w:r>
      <w:r>
        <w:rPr>
          <w:rFonts w:hint="eastAsia"/>
          <w:kern w:val="0"/>
          <w:sz w:val="24"/>
          <w:szCs w:val="24"/>
          <w:highlight w:val="none"/>
        </w:rPr>
        <w:t>安徽泰亨特科技有限</w:t>
      </w:r>
      <w:r>
        <w:rPr>
          <w:rFonts w:hint="eastAsia"/>
          <w:sz w:val="24"/>
          <w:szCs w:val="24"/>
        </w:rPr>
        <w:t>公司</w:t>
      </w:r>
    </w:p>
    <w:p>
      <w:pPr>
        <w:keepNext w:val="0"/>
        <w:keepLines w:val="0"/>
        <w:pageBreakBefore w:val="0"/>
        <w:widowControl w:val="0"/>
        <w:kinsoku/>
        <w:wordWrap w:val="0"/>
        <w:overflowPunct/>
        <w:topLinePunct w:val="0"/>
        <w:autoSpaceDE/>
        <w:autoSpaceDN/>
        <w:bidi w:val="0"/>
        <w:adjustRightInd/>
        <w:snapToGrid/>
        <w:spacing w:line="360" w:lineRule="auto"/>
        <w:ind w:leftChars="0"/>
        <w:jc w:val="right"/>
        <w:textAlignment w:val="auto"/>
        <w:rPr>
          <w:rFonts w:hint="eastAsia" w:ascii="宋体" w:hAnsi="宋体" w:eastAsia="宋体"/>
          <w:color w:val="auto"/>
          <w:sz w:val="24"/>
          <w:szCs w:val="24"/>
          <w:highlight w:val="none"/>
          <w:lang w:eastAsia="zh-CN"/>
        </w:rPr>
      </w:pPr>
      <w:r>
        <w:rPr>
          <w:rFonts w:hint="eastAsia" w:ascii="Times New Roman" w:hAnsi="Times New Roman"/>
          <w:sz w:val="24"/>
          <w:szCs w:val="24"/>
          <w:highlight w:val="none"/>
          <w:lang w:val="en-US" w:eastAsia="zh-CN"/>
        </w:rPr>
        <w:t xml:space="preserve">                               </w:t>
      </w:r>
      <w:r>
        <w:rPr>
          <w:rFonts w:ascii="Times New Roman" w:hAnsi="Times New Roman"/>
          <w:color w:val="auto"/>
          <w:sz w:val="24"/>
          <w:szCs w:val="24"/>
          <w:highlight w:val="none"/>
        </w:rPr>
        <w:t>20</w:t>
      </w:r>
      <w:r>
        <w:rPr>
          <w:rFonts w:hint="eastAsia" w:ascii="Times New Roman" w:hAnsi="Times New Roman"/>
          <w:color w:val="auto"/>
          <w:sz w:val="24"/>
          <w:szCs w:val="24"/>
          <w:highlight w:val="none"/>
        </w:rPr>
        <w:t>2</w:t>
      </w:r>
      <w:r>
        <w:rPr>
          <w:rFonts w:hint="eastAsia" w:ascii="Times New Roman" w:hAnsi="Times New Roman"/>
          <w:color w:val="auto"/>
          <w:sz w:val="24"/>
          <w:szCs w:val="24"/>
          <w:highlight w:val="none"/>
          <w:lang w:val="en-US" w:eastAsia="zh-CN"/>
        </w:rPr>
        <w:t>3</w:t>
      </w:r>
      <w:r>
        <w:rPr>
          <w:rFonts w:ascii="宋体" w:hAnsi="宋体"/>
          <w:color w:val="auto"/>
          <w:sz w:val="24"/>
          <w:szCs w:val="24"/>
          <w:highlight w:val="none"/>
        </w:rPr>
        <w:t>年</w:t>
      </w:r>
      <w:r>
        <w:rPr>
          <w:rFonts w:hint="eastAsia"/>
          <w:color w:val="auto"/>
          <w:sz w:val="24"/>
          <w:szCs w:val="24"/>
          <w:highlight w:val="none"/>
          <w:lang w:val="en-US" w:eastAsia="zh-CN"/>
        </w:rPr>
        <w:t>8</w:t>
      </w:r>
      <w:r>
        <w:rPr>
          <w:rFonts w:hint="eastAsia" w:ascii="宋体" w:hAnsi="宋体"/>
          <w:color w:val="auto"/>
          <w:sz w:val="24"/>
          <w:szCs w:val="24"/>
          <w:highlight w:val="none"/>
        </w:rPr>
        <w:t>月</w:t>
      </w:r>
      <w:r>
        <w:rPr>
          <w:rFonts w:hint="eastAsia"/>
          <w:color w:val="auto"/>
          <w:sz w:val="24"/>
          <w:szCs w:val="24"/>
          <w:highlight w:val="none"/>
          <w:lang w:val="en-US" w:eastAsia="zh-CN"/>
        </w:rPr>
        <w:t>7</w:t>
      </w:r>
      <w:r>
        <w:rPr>
          <w:rFonts w:hint="eastAsia" w:ascii="宋体" w:hAnsi="宋体"/>
          <w:color w:val="auto"/>
          <w:sz w:val="24"/>
          <w:szCs w:val="24"/>
          <w:highlight w:val="none"/>
        </w:rPr>
        <w:t>日</w:t>
      </w:r>
    </w:p>
    <w:p>
      <w:pPr>
        <w:tabs>
          <w:tab w:val="left" w:pos="6591"/>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AB447"/>
    <w:multiLevelType w:val="singleLevel"/>
    <w:tmpl w:val="088AB447"/>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lNDk5OTE4MjE4NmY4MzZkMTYxOWJjMGJmNDE3MDkifQ=="/>
  </w:docVars>
  <w:rsids>
    <w:rsidRoot w:val="0951361D"/>
    <w:rsid w:val="02CC0942"/>
    <w:rsid w:val="0951361D"/>
    <w:rsid w:val="3350577D"/>
    <w:rsid w:val="648E68C5"/>
    <w:rsid w:val="78F92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440" w:lineRule="exact"/>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spacing w:before="40" w:after="40" w:line="578" w:lineRule="auto"/>
      <w:jc w:val="center"/>
      <w:outlineLvl w:val="0"/>
    </w:pPr>
    <w:rPr>
      <w:b/>
      <w:bCs/>
      <w:kern w:val="44"/>
      <w:sz w:val="44"/>
      <w:szCs w:val="44"/>
    </w:rPr>
  </w:style>
  <w:style w:type="paragraph" w:styleId="2">
    <w:name w:val="heading 3"/>
    <w:basedOn w:val="1"/>
    <w:next w:val="1"/>
    <w:qFormat/>
    <w:uiPriority w:val="0"/>
    <w:pPr>
      <w:keepNext/>
      <w:keepLines/>
      <w:spacing w:before="20" w:after="20" w:line="360" w:lineRule="auto"/>
      <w:outlineLvl w:val="2"/>
    </w:pPr>
    <w:rPr>
      <w:b/>
      <w:bCs/>
      <w:sz w:val="30"/>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line="460" w:lineRule="exact"/>
      <w:jc w:val="center"/>
    </w:pPr>
    <w:rPr>
      <w:szCs w:val="20"/>
    </w:rPr>
  </w:style>
  <w:style w:type="paragraph" w:styleId="5">
    <w:name w:val="List Bullet 5"/>
    <w:basedOn w:val="1"/>
    <w:qFormat/>
    <w:uiPriority w:val="0"/>
    <w:pPr>
      <w:numPr>
        <w:ilvl w:val="0"/>
        <w:numId w:val="1"/>
      </w:numPr>
    </w:pPr>
  </w:style>
  <w:style w:type="paragraph" w:styleId="6">
    <w:name w:val="Body Text Indent"/>
    <w:basedOn w:val="1"/>
    <w:next w:val="7"/>
    <w:qFormat/>
    <w:uiPriority w:val="0"/>
    <w:pPr>
      <w:spacing w:line="360" w:lineRule="auto"/>
      <w:ind w:firstLine="560" w:firstLineChars="200"/>
    </w:pPr>
    <w:rPr>
      <w:rFonts w:ascii="CG Times" w:hAnsi="CG Times"/>
    </w:rPr>
  </w:style>
  <w:style w:type="paragraph" w:customStyle="1" w:styleId="7">
    <w:name w:val="样式 正文文本缩进 + 行距: 1.5 倍行距"/>
    <w:basedOn w:val="8"/>
    <w:next w:val="1"/>
    <w:qFormat/>
    <w:uiPriority w:val="0"/>
    <w:pPr>
      <w:snapToGrid/>
      <w:spacing w:before="0" w:after="120" w:line="360" w:lineRule="auto"/>
      <w:ind w:left="90" w:leftChars="32" w:firstLine="560" w:firstLineChars="200"/>
    </w:pPr>
    <w:rPr>
      <w:rFonts w:ascii="Times New Roman" w:eastAsia="宋体" w:cs="宋体"/>
    </w:rPr>
  </w:style>
  <w:style w:type="paragraph" w:customStyle="1" w:styleId="8">
    <w:name w:val="Body Text Indent"/>
    <w:basedOn w:val="1"/>
    <w:next w:val="7"/>
    <w:qFormat/>
    <w:uiPriority w:val="0"/>
    <w:pPr>
      <w:spacing w:after="120" w:afterLines="0"/>
      <w:ind w:left="420" w:leftChars="200"/>
    </w:pPr>
  </w:style>
  <w:style w:type="paragraph" w:styleId="9">
    <w:name w:val="Body Text First Indent 2"/>
    <w:basedOn w:val="6"/>
    <w:next w:val="1"/>
    <w:qFormat/>
    <w:uiPriority w:val="0"/>
    <w:pPr>
      <w:adjustRightInd w:val="0"/>
      <w:spacing w:line="600" w:lineRule="exact"/>
      <w:ind w:firstLine="420" w:firstLineChars="200"/>
      <w:textAlignment w:val="baseline"/>
    </w:pPr>
    <w:rPr>
      <w:spacing w:val="20"/>
      <w:sz w:val="28"/>
      <w:szCs w:val="2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环评正文"/>
    <w:basedOn w:val="1"/>
    <w:qFormat/>
    <w:uiPriority w:val="0"/>
    <w:pPr>
      <w:adjustRightInd w:val="0"/>
      <w:snapToGrid w:val="0"/>
      <w:spacing w:line="360" w:lineRule="auto"/>
      <w:ind w:firstLine="480" w:firstLineChars="200"/>
    </w:pPr>
    <w:rPr>
      <w:szCs w:val="20"/>
    </w:rPr>
  </w:style>
  <w:style w:type="paragraph" w:customStyle="1" w:styleId="14">
    <w:name w:val="Normal_5"/>
    <w:qFormat/>
    <w:uiPriority w:val="0"/>
    <w:pPr>
      <w:spacing w:before="120" w:after="240"/>
      <w:jc w:val="both"/>
    </w:pPr>
    <w:rPr>
      <w:rFonts w:ascii="Calibri" w:hAnsi="Calibri" w:eastAsia="Calibri" w:cs="Times New Roman"/>
      <w:sz w:val="22"/>
      <w:szCs w:val="22"/>
      <w:lang w:val="en-US" w:eastAsia="en-US" w:bidi="ar-SA"/>
    </w:rPr>
  </w:style>
  <w:style w:type="paragraph" w:customStyle="1" w:styleId="15">
    <w:name w:val="Normal_4"/>
    <w:qFormat/>
    <w:uiPriority w:val="0"/>
    <w:pPr>
      <w:spacing w:before="120" w:after="240"/>
      <w:jc w:val="both"/>
    </w:pPr>
    <w:rPr>
      <w:rFonts w:ascii="Calibri" w:hAnsi="Calibri" w:eastAsia="Calibri" w:cs="Times New Roman"/>
      <w:sz w:val="22"/>
      <w:szCs w:val="22"/>
      <w:lang w:val="en-US" w:eastAsia="en-US" w:bidi="ar-SA"/>
    </w:rPr>
  </w:style>
  <w:style w:type="paragraph" w:customStyle="1" w:styleId="16">
    <w:name w:val="Normal (Web)"/>
    <w:basedOn w:val="1"/>
    <w:qFormat/>
    <w:uiPriority w:val="0"/>
    <w:pPr>
      <w:adjustRightInd/>
      <w:snapToGrid/>
      <w:spacing w:before="100" w:beforeLines="0" w:beforeAutospacing="1" w:after="100" w:afterLines="0" w:afterAutospacing="1"/>
    </w:pPr>
    <w:rPr>
      <w:rFonts w:ascii="宋体" w:hAnsi="宋体" w:eastAsia="宋体" w:cs="宋体"/>
      <w:sz w:val="24"/>
      <w:szCs w:val="24"/>
    </w:rPr>
  </w:style>
  <w:style w:type="paragraph" w:customStyle="1" w:styleId="17">
    <w:name w:val="表文-H"/>
    <w:basedOn w:val="1"/>
    <w:qFormat/>
    <w:uiPriority w:val="0"/>
    <w:pPr>
      <w:spacing w:line="240" w:lineRule="atLeast"/>
      <w:ind w:firstLine="0" w:firstLineChars="0"/>
      <w:jc w:val="center"/>
    </w:pPr>
    <w:rPr>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3246</Words>
  <Characters>3648</Characters>
  <Lines>0</Lines>
  <Paragraphs>0</Paragraphs>
  <TotalTime>13</TotalTime>
  <ScaleCrop>false</ScaleCrop>
  <LinksUpToDate>false</LinksUpToDate>
  <CharactersWithSpaces>3696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2023-06-06T06:48:00Z</dcterms:created>
  <dc:creator>眄庭柯</dc:creator>
  <cp:lastModifiedBy>眄庭柯</cp:lastModifiedBy>
  <dcterms:modified xsi:type="dcterms:W3CDTF">2023-08-22T13:16:22Z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E1C179C457A74C40A4CBF304A633F3E1_13</vt:lpwstr>
  </property>
</Properties>
</file>